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5A69" w14:textId="4B847CF9" w:rsidR="000A0726" w:rsidRDefault="001644B4" w:rsidP="000A072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chivo Narrow" w:hAnsi="Archivo Narrow" w:cs="Arial"/>
          <w:sz w:val="40"/>
          <w:szCs w:val="40"/>
          <w:lang w:val="en-US"/>
        </w:rPr>
      </w:pPr>
      <w:r>
        <w:rPr>
          <w:rFonts w:ascii="Archivo Narrow" w:hAnsi="Archivo Narrow" w:cs="Arial"/>
          <w:sz w:val="40"/>
          <w:szCs w:val="40"/>
          <w:lang w:val="en-US"/>
        </w:rPr>
        <w:t xml:space="preserve">Mustache to Touch – Visualizing Model Risk for Exotics </w:t>
      </w:r>
    </w:p>
    <w:p w14:paraId="176BABCE" w14:textId="328FA39D" w:rsidR="00792D83" w:rsidRPr="00792D83" w:rsidRDefault="00792D83" w:rsidP="00792D83">
      <w:pPr>
        <w:rPr>
          <w:rFonts w:ascii="Archivo Narrow" w:hAnsi="Archivo Narrow" w:cs="Arial"/>
          <w:sz w:val="24"/>
          <w:szCs w:val="24"/>
          <w:lang w:val="en-US"/>
        </w:rPr>
      </w:pPr>
      <w:r w:rsidRPr="00426CCE">
        <w:rPr>
          <w:rFonts w:ascii="Archivo Narrow" w:hAnsi="Archivo Narrow" w:cs="Arial"/>
          <w:sz w:val="24"/>
          <w:szCs w:val="24"/>
          <w:lang w:val="en-US"/>
        </w:rPr>
        <w:t xml:space="preserve">Uwe </w:t>
      </w:r>
      <w:proofErr w:type="spellStart"/>
      <w:r w:rsidRPr="00426CCE">
        <w:rPr>
          <w:rFonts w:ascii="Archivo Narrow" w:hAnsi="Archivo Narrow" w:cs="Arial"/>
          <w:sz w:val="24"/>
          <w:szCs w:val="24"/>
          <w:lang w:val="en-US"/>
        </w:rPr>
        <w:t>Wystup</w:t>
      </w:r>
      <w:proofErr w:type="spellEnd"/>
      <w:r>
        <w:rPr>
          <w:rFonts w:ascii="Archivo Narrow" w:hAnsi="Archivo Narrow" w:cs="Arial"/>
          <w:sz w:val="24"/>
          <w:szCs w:val="24"/>
          <w:lang w:val="en-US"/>
        </w:rPr>
        <w:t xml:space="preserve">, </w:t>
      </w:r>
      <w:r w:rsidRPr="00426CCE">
        <w:rPr>
          <w:rFonts w:ascii="Archivo Narrow" w:hAnsi="Archivo Narrow" w:cs="Arial"/>
          <w:sz w:val="24"/>
          <w:szCs w:val="24"/>
          <w:lang w:val="en-US"/>
        </w:rPr>
        <w:t>MathFinanc</w:t>
      </w:r>
      <w:r w:rsidR="00A865E3">
        <w:rPr>
          <w:rFonts w:ascii="Archivo Narrow" w:hAnsi="Archivo Narrow" w:cs="Arial"/>
          <w:sz w:val="24"/>
          <w:szCs w:val="24"/>
          <w:lang w:val="en-US"/>
        </w:rPr>
        <w:t>e AG, Frankfurt am Main</w:t>
      </w:r>
      <w:r w:rsidRPr="0002337A">
        <w:rPr>
          <w:rFonts w:ascii="Archivo Narrow" w:hAnsi="Archivo Narrow" w:cs="TimesNewRomanPSMT"/>
          <w:sz w:val="16"/>
          <w:szCs w:val="16"/>
          <w:lang w:val="en-US" w:eastAsia="de-DE"/>
        </w:rPr>
        <w:t xml:space="preserve"> </w:t>
      </w:r>
    </w:p>
    <w:p w14:paraId="18AAB8A8" w14:textId="77777777" w:rsidR="00F80791" w:rsidRPr="00426CCE" w:rsidRDefault="00F80791" w:rsidP="000A072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chivo Narrow" w:hAnsi="Archivo Narrow" w:cs="Arial"/>
          <w:sz w:val="24"/>
          <w:szCs w:val="24"/>
          <w:lang w:val="en-US"/>
        </w:rPr>
      </w:pPr>
    </w:p>
    <w:p w14:paraId="687ACF0F" w14:textId="77777777" w:rsidR="007F2518" w:rsidRDefault="005A7DF3" w:rsidP="00F8079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chivo Narrow" w:hAnsi="Archivo Narrow" w:cs="Arial"/>
          <w:sz w:val="24"/>
          <w:szCs w:val="24"/>
          <w:lang w:val="en-US"/>
        </w:rPr>
      </w:pPr>
      <w:r>
        <w:rPr>
          <w:rFonts w:ascii="Archivo Narrow" w:hAnsi="Archivo Narrow" w:cs="Arial"/>
          <w:sz w:val="24"/>
          <w:szCs w:val="24"/>
          <w:lang w:val="en-US"/>
        </w:rPr>
        <w:t>For vanilla options, the volatility smile shows the implied volatility in the Black-Scholes model and is interpreted as the deviation of the market from the normal retu</w:t>
      </w:r>
      <w:r w:rsidR="00E74527">
        <w:rPr>
          <w:rFonts w:ascii="Archivo Narrow" w:hAnsi="Archivo Narrow" w:cs="Arial"/>
          <w:sz w:val="24"/>
          <w:szCs w:val="24"/>
          <w:lang w:val="en-US"/>
        </w:rPr>
        <w:t>rns assumed by the Black-Scholes</w:t>
      </w:r>
      <w:r>
        <w:rPr>
          <w:rFonts w:ascii="Archivo Narrow" w:hAnsi="Archivo Narrow" w:cs="Arial"/>
          <w:sz w:val="24"/>
          <w:szCs w:val="24"/>
          <w:lang w:val="en-US"/>
        </w:rPr>
        <w:t xml:space="preserve"> model. Since the relationship of volatilities and vanilla option prices is monotone, this way to visualize the market-</w:t>
      </w:r>
      <w:r w:rsidR="00E74527">
        <w:rPr>
          <w:rFonts w:ascii="Archivo Narrow" w:hAnsi="Archivo Narrow" w:cs="Arial"/>
          <w:sz w:val="24"/>
          <w:szCs w:val="24"/>
          <w:lang w:val="en-US"/>
        </w:rPr>
        <w:t xml:space="preserve"> or</w:t>
      </w:r>
      <w:r>
        <w:rPr>
          <w:rFonts w:ascii="Archivo Narrow" w:hAnsi="Archivo Narrow" w:cs="Arial"/>
          <w:sz w:val="24"/>
          <w:szCs w:val="24"/>
          <w:lang w:val="en-US"/>
        </w:rPr>
        <w:t xml:space="preserve"> model-implied deviation is the established standard. </w:t>
      </w:r>
    </w:p>
    <w:p w14:paraId="4A665DF9" w14:textId="42261EDB" w:rsidR="00245FE5" w:rsidRDefault="005A7DF3" w:rsidP="00DB0C88">
      <w:pPr>
        <w:spacing w:before="100" w:beforeAutospacing="1" w:after="100" w:afterAutospacing="1"/>
        <w:rPr>
          <w:rFonts w:ascii="Archivo Narrow" w:hAnsi="Archivo Narrow"/>
          <w:sz w:val="24"/>
          <w:szCs w:val="24"/>
          <w:lang w:val="en-US"/>
        </w:rPr>
      </w:pPr>
      <w:r>
        <w:rPr>
          <w:rFonts w:ascii="Archivo Narrow" w:hAnsi="Archivo Narrow" w:cs="Arial"/>
          <w:sz w:val="24"/>
          <w:szCs w:val="24"/>
          <w:lang w:val="en-US"/>
        </w:rPr>
        <w:t>We visualize the USD/JPY volatility smile of the market data of 23 January 2018 in</w:t>
      </w:r>
      <w:r w:rsidR="00AB7D70">
        <w:rPr>
          <w:rFonts w:ascii="Archivo Narrow" w:hAnsi="Archivo Narrow"/>
          <w:sz w:val="24"/>
          <w:szCs w:val="24"/>
          <w:lang w:val="en-US"/>
        </w:rPr>
        <w:t xml:space="preserve"> </w:t>
      </w:r>
      <w:r w:rsidR="00245FE5">
        <w:fldChar w:fldCharType="begin"/>
      </w:r>
      <w:r w:rsidR="00245FE5">
        <w:instrText xml:space="preserve"> REF _Ref532808781 \h  \* MERGEFORMAT </w:instrText>
      </w:r>
      <w:r w:rsidR="00245FE5">
        <w:fldChar w:fldCharType="separate"/>
      </w:r>
      <w:r w:rsidR="004C752A" w:rsidRPr="004C752A">
        <w:rPr>
          <w:rFonts w:ascii="Archivo Narrow" w:hAnsi="Archivo Narrow"/>
          <w:sz w:val="24"/>
          <w:szCs w:val="24"/>
          <w:lang w:val="en-US"/>
        </w:rPr>
        <w:t>Figure 1</w:t>
      </w:r>
      <w:r w:rsidR="00000000">
        <w:fldChar w:fldCharType="end"/>
      </w:r>
      <w:r w:rsidR="0071171B">
        <w:rPr>
          <w:rFonts w:ascii="Archivo Narrow" w:hAnsi="Archivo Narrow"/>
          <w:sz w:val="24"/>
          <w:szCs w:val="24"/>
          <w:lang w:val="en-US"/>
        </w:rPr>
        <w:t>.</w:t>
      </w:r>
      <w:r w:rsidR="00F25D7C">
        <w:rPr>
          <w:rFonts w:ascii="Archivo Narrow" w:hAnsi="Archivo Narrow"/>
          <w:sz w:val="24"/>
          <w:szCs w:val="24"/>
          <w:lang w:val="en-US"/>
        </w:rPr>
        <w:t xml:space="preserve"> </w:t>
      </w:r>
      <w:r w:rsidR="00E74527">
        <w:rPr>
          <w:rFonts w:ascii="Archivo Narrow" w:hAnsi="Archivo Narrow"/>
          <w:sz w:val="24"/>
          <w:szCs w:val="24"/>
          <w:lang w:val="en-US"/>
        </w:rPr>
        <w:t>Spot reference was 110.31 and out-of-the-money puts are higher priced than out-of-the-money calls</w:t>
      </w:r>
      <w:r w:rsidR="001063AA">
        <w:rPr>
          <w:rFonts w:ascii="Archivo Narrow" w:hAnsi="Archivo Narrow"/>
          <w:sz w:val="24"/>
          <w:szCs w:val="24"/>
          <w:lang w:val="en-US"/>
        </w:rPr>
        <w:t xml:space="preserve"> (equivalently in-the-money puts)</w:t>
      </w:r>
      <w:r w:rsidR="00E74527">
        <w:rPr>
          <w:rFonts w:ascii="Archivo Narrow" w:hAnsi="Archivo Narrow"/>
          <w:sz w:val="24"/>
          <w:szCs w:val="24"/>
          <w:lang w:val="en-US"/>
        </w:rPr>
        <w:t xml:space="preserve">. </w:t>
      </w:r>
    </w:p>
    <w:p w14:paraId="542FE608" w14:textId="77777777" w:rsidR="009444B1" w:rsidRDefault="00A419DE" w:rsidP="009444B1">
      <w:pPr>
        <w:keepNext/>
        <w:spacing w:before="100" w:beforeAutospacing="1" w:after="100" w:afterAutospacing="1"/>
        <w:jc w:val="center"/>
      </w:pPr>
      <w:r>
        <w:rPr>
          <w:noProof/>
          <w:lang w:eastAsia="de-DE"/>
        </w:rPr>
        <w:drawing>
          <wp:inline distT="0" distB="0" distL="0" distR="0" wp14:anchorId="668DED9D" wp14:editId="6DE17CDE">
            <wp:extent cx="5760720" cy="4284345"/>
            <wp:effectExtent l="19050" t="0" r="0" b="0"/>
            <wp:docPr id="3" name="Picture 2" descr="USDJPY-20180123-9M-Volsu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DJPY-20180123-9M-Volsur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8B32C" w14:textId="028E1A0E" w:rsidR="009444B1" w:rsidRPr="005A6AD0" w:rsidRDefault="009444B1" w:rsidP="009444B1">
      <w:pPr>
        <w:pStyle w:val="Beschriftung"/>
        <w:jc w:val="center"/>
        <w:rPr>
          <w:rFonts w:ascii="Archivo Narrow" w:hAnsi="Archivo Narrow"/>
          <w:color w:val="339999"/>
          <w:sz w:val="24"/>
          <w:szCs w:val="24"/>
          <w:lang w:val="en-US"/>
        </w:rPr>
      </w:pPr>
      <w:bookmarkStart w:id="0" w:name="_Ref532808781"/>
      <w:r w:rsidRPr="005A6AD0">
        <w:rPr>
          <w:rFonts w:ascii="Archivo Narrow" w:hAnsi="Archivo Narrow"/>
          <w:color w:val="339999"/>
          <w:sz w:val="24"/>
          <w:szCs w:val="24"/>
          <w:lang w:val="en-US"/>
        </w:rPr>
        <w:t xml:space="preserve">Figure </w:t>
      </w:r>
      <w:r w:rsidR="001823A3" w:rsidRPr="005A6AD0">
        <w:rPr>
          <w:rFonts w:ascii="Archivo Narrow" w:hAnsi="Archivo Narrow"/>
          <w:color w:val="339999"/>
          <w:sz w:val="24"/>
          <w:szCs w:val="24"/>
        </w:rPr>
        <w:fldChar w:fldCharType="begin"/>
      </w:r>
      <w:r w:rsidRPr="005A6AD0">
        <w:rPr>
          <w:rFonts w:ascii="Archivo Narrow" w:hAnsi="Archivo Narrow"/>
          <w:color w:val="339999"/>
          <w:sz w:val="24"/>
          <w:szCs w:val="24"/>
          <w:lang w:val="en-US"/>
        </w:rPr>
        <w:instrText xml:space="preserve"> SEQ Figure \* ARABIC </w:instrText>
      </w:r>
      <w:r w:rsidR="001823A3" w:rsidRPr="005A6AD0">
        <w:rPr>
          <w:rFonts w:ascii="Archivo Narrow" w:hAnsi="Archivo Narrow"/>
          <w:color w:val="339999"/>
          <w:sz w:val="24"/>
          <w:szCs w:val="24"/>
        </w:rPr>
        <w:fldChar w:fldCharType="separate"/>
      </w:r>
      <w:r w:rsidR="004C752A">
        <w:rPr>
          <w:rFonts w:ascii="Archivo Narrow" w:hAnsi="Archivo Narrow"/>
          <w:noProof/>
          <w:color w:val="339999"/>
          <w:sz w:val="24"/>
          <w:szCs w:val="24"/>
          <w:lang w:val="en-US"/>
        </w:rPr>
        <w:t>1</w:t>
      </w:r>
      <w:r w:rsidR="001823A3" w:rsidRPr="005A6AD0">
        <w:rPr>
          <w:rFonts w:ascii="Archivo Narrow" w:hAnsi="Archivo Narrow"/>
          <w:color w:val="339999"/>
          <w:sz w:val="24"/>
          <w:szCs w:val="24"/>
        </w:rPr>
        <w:fldChar w:fldCharType="end"/>
      </w:r>
      <w:bookmarkEnd w:id="0"/>
      <w:r w:rsidRPr="005A6AD0">
        <w:rPr>
          <w:rFonts w:ascii="Archivo Narrow" w:hAnsi="Archivo Narrow"/>
          <w:color w:val="339999"/>
          <w:sz w:val="24"/>
          <w:szCs w:val="24"/>
          <w:lang w:val="en-US"/>
        </w:rPr>
        <w:t xml:space="preserve">: </w:t>
      </w:r>
      <w:r w:rsidR="005A7DF3">
        <w:rPr>
          <w:rFonts w:ascii="Archivo Narrow" w:hAnsi="Archivo Narrow"/>
          <w:color w:val="339999"/>
          <w:sz w:val="24"/>
          <w:szCs w:val="24"/>
          <w:lang w:val="en-US"/>
        </w:rPr>
        <w:t>USD/JPY volatilit</w:t>
      </w:r>
      <w:r w:rsidR="00A419DE">
        <w:rPr>
          <w:rFonts w:ascii="Archivo Narrow" w:hAnsi="Archivo Narrow"/>
          <w:color w:val="339999"/>
          <w:sz w:val="24"/>
          <w:szCs w:val="24"/>
          <w:lang w:val="en-US"/>
        </w:rPr>
        <w:t>y surface of 23 Jan 2018, put</w:t>
      </w:r>
      <w:r w:rsidR="00E74527">
        <w:rPr>
          <w:rFonts w:ascii="Archivo Narrow" w:hAnsi="Archivo Narrow"/>
          <w:color w:val="339999"/>
          <w:sz w:val="24"/>
          <w:szCs w:val="24"/>
          <w:lang w:val="en-US"/>
        </w:rPr>
        <w:t xml:space="preserve"> </w:t>
      </w:r>
      <w:r w:rsidR="00E551EE">
        <w:rPr>
          <w:rFonts w:ascii="Archivo Narrow" w:hAnsi="Archivo Narrow"/>
          <w:color w:val="339999"/>
          <w:sz w:val="24"/>
          <w:szCs w:val="24"/>
          <w:lang w:val="en-US"/>
        </w:rPr>
        <w:t xml:space="preserve">forward </w:t>
      </w:r>
      <w:r w:rsidR="00E74527">
        <w:rPr>
          <w:rFonts w:ascii="Archivo Narrow" w:hAnsi="Archivo Narrow"/>
          <w:color w:val="339999"/>
          <w:sz w:val="24"/>
          <w:szCs w:val="24"/>
          <w:lang w:val="en-US"/>
        </w:rPr>
        <w:t>d</w:t>
      </w:r>
      <w:r w:rsidR="005A7DF3">
        <w:rPr>
          <w:rFonts w:ascii="Archivo Narrow" w:hAnsi="Archivo Narrow"/>
          <w:color w:val="339999"/>
          <w:sz w:val="24"/>
          <w:szCs w:val="24"/>
          <w:lang w:val="en-US"/>
        </w:rPr>
        <w:t xml:space="preserve">elta on the x-axis, time to maturity on the y-axis, implied volatility on the z-axis – raw data sourced from Bloomberg, surface built by MathFinance. </w:t>
      </w:r>
    </w:p>
    <w:p w14:paraId="191E78E7" w14:textId="77777777" w:rsidR="007A05F4" w:rsidRDefault="00245FE5" w:rsidP="00DB0C88">
      <w:pPr>
        <w:spacing w:before="100" w:beforeAutospacing="1" w:after="100" w:afterAutospacing="1"/>
        <w:rPr>
          <w:rFonts w:ascii="Archivo Narrow" w:hAnsi="Archivo Narrow"/>
          <w:sz w:val="24"/>
          <w:szCs w:val="24"/>
          <w:lang w:val="en-US"/>
        </w:rPr>
      </w:pPr>
      <w:r>
        <w:rPr>
          <w:rFonts w:ascii="Archivo Narrow" w:hAnsi="Archivo Narrow"/>
          <w:sz w:val="24"/>
          <w:szCs w:val="24"/>
          <w:lang w:val="en-US"/>
        </w:rPr>
        <w:t xml:space="preserve"> </w:t>
      </w:r>
      <w:r w:rsidR="007F2518">
        <w:rPr>
          <w:rFonts w:ascii="Archivo Narrow" w:hAnsi="Archivo Narrow"/>
          <w:sz w:val="24"/>
          <w:szCs w:val="24"/>
          <w:lang w:val="en-US"/>
        </w:rPr>
        <w:t xml:space="preserve"> </w:t>
      </w:r>
    </w:p>
    <w:p w14:paraId="4110E832" w14:textId="77777777" w:rsidR="00C008DE" w:rsidRDefault="00CD5913" w:rsidP="00BD091C">
      <w:pPr>
        <w:spacing w:before="100" w:beforeAutospacing="1" w:after="100" w:afterAutospacing="1"/>
        <w:rPr>
          <w:rFonts w:ascii="Archivo Narrow" w:hAnsi="Archivo Narrow"/>
          <w:sz w:val="24"/>
          <w:szCs w:val="24"/>
          <w:lang w:val="en-US"/>
        </w:rPr>
      </w:pPr>
      <w:r>
        <w:rPr>
          <w:rFonts w:ascii="Archivo Narrow" w:hAnsi="Archivo Narrow"/>
          <w:sz w:val="24"/>
          <w:szCs w:val="24"/>
          <w:lang w:val="en-US"/>
        </w:rPr>
        <w:t xml:space="preserve">Therefore, </w:t>
      </w:r>
      <w:r w:rsidR="005A7DF3">
        <w:rPr>
          <w:rFonts w:ascii="Archivo Narrow" w:hAnsi="Archivo Narrow"/>
          <w:sz w:val="24"/>
          <w:szCs w:val="24"/>
          <w:lang w:val="en-US"/>
        </w:rPr>
        <w:t xml:space="preserve">for pricing vanilla options, it is common to use the Black-Scholes formula, and all the quantitative/modeling work is shifted to and hidden in the way the volatilities are </w:t>
      </w:r>
      <w:r w:rsidR="005A7DF3">
        <w:rPr>
          <w:rFonts w:ascii="Archivo Narrow" w:hAnsi="Archivo Narrow"/>
          <w:sz w:val="24"/>
          <w:szCs w:val="24"/>
          <w:lang w:val="en-US"/>
        </w:rPr>
        <w:lastRenderedPageBreak/>
        <w:t xml:space="preserve">interpolated and extrapolated </w:t>
      </w:r>
      <w:r w:rsidR="00C008DE">
        <w:rPr>
          <w:rFonts w:ascii="Archivo Narrow" w:hAnsi="Archivo Narrow"/>
          <w:sz w:val="24"/>
          <w:szCs w:val="24"/>
          <w:lang w:val="en-US"/>
        </w:rPr>
        <w:t>on both the strike-space and maturity space</w:t>
      </w:r>
      <w:r w:rsidR="0035566E">
        <w:rPr>
          <w:rFonts w:ascii="Archivo Narrow" w:hAnsi="Archivo Narrow"/>
          <w:sz w:val="24"/>
          <w:szCs w:val="24"/>
          <w:lang w:val="en-US"/>
        </w:rPr>
        <w:t xml:space="preserve"> (</w:t>
      </w:r>
      <w:r w:rsidR="0035566E" w:rsidRPr="00E74527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Smile</w:t>
      </w:r>
      <w:r w:rsidR="0035566E">
        <w:rPr>
          <w:rFonts w:ascii="Archivo Narrow" w:hAnsi="Archivo Narrow"/>
          <w:sz w:val="24"/>
          <w:szCs w:val="24"/>
          <w:lang w:val="en-US"/>
        </w:rPr>
        <w:t>)</w:t>
      </w:r>
      <w:r w:rsidR="005A6AD0">
        <w:rPr>
          <w:rFonts w:ascii="Archivo Narrow" w:hAnsi="Archivo Narrow"/>
          <w:sz w:val="24"/>
          <w:szCs w:val="24"/>
          <w:lang w:val="en-US"/>
        </w:rPr>
        <w:t>.</w:t>
      </w:r>
      <w:r w:rsidR="00C008DE">
        <w:rPr>
          <w:rFonts w:ascii="Archivo Narrow" w:hAnsi="Archivo Narrow"/>
          <w:sz w:val="24"/>
          <w:szCs w:val="24"/>
          <w:lang w:val="en-US"/>
        </w:rPr>
        <w:t xml:space="preserve"> </w:t>
      </w:r>
      <w:r w:rsidR="0035566E">
        <w:rPr>
          <w:rFonts w:ascii="Archivo Narrow" w:hAnsi="Archivo Narrow"/>
          <w:sz w:val="24"/>
          <w:szCs w:val="24"/>
          <w:lang w:val="en-US"/>
        </w:rPr>
        <w:t xml:space="preserve">It is only for pricing exotics that we really need a model. The common industry models include </w:t>
      </w:r>
      <w:proofErr w:type="spellStart"/>
      <w:r w:rsidR="0035566E">
        <w:rPr>
          <w:rFonts w:ascii="Archivo Narrow" w:hAnsi="Archivo Narrow"/>
          <w:sz w:val="24"/>
          <w:szCs w:val="24"/>
          <w:lang w:val="en-US"/>
        </w:rPr>
        <w:t>vanna-volga</w:t>
      </w:r>
      <w:proofErr w:type="spellEnd"/>
      <w:r w:rsidR="0035566E">
        <w:rPr>
          <w:rFonts w:ascii="Archivo Narrow" w:hAnsi="Archivo Narrow"/>
          <w:sz w:val="24"/>
          <w:szCs w:val="24"/>
          <w:lang w:val="en-US"/>
        </w:rPr>
        <w:t xml:space="preserve"> (</w:t>
      </w:r>
      <w:r w:rsidR="0035566E" w:rsidRPr="00E74527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Vv2</w:t>
      </w:r>
      <w:r w:rsidR="0035566E">
        <w:rPr>
          <w:rFonts w:ascii="Archivo Narrow" w:hAnsi="Archivo Narrow"/>
          <w:sz w:val="24"/>
          <w:szCs w:val="24"/>
          <w:lang w:val="en-US"/>
        </w:rPr>
        <w:t>), local volatility (</w:t>
      </w:r>
      <w:proofErr w:type="spellStart"/>
      <w:r w:rsidR="0035566E" w:rsidRPr="00E74527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Lv</w:t>
      </w:r>
      <w:proofErr w:type="spellEnd"/>
      <w:r w:rsidR="0035566E">
        <w:rPr>
          <w:rFonts w:ascii="Archivo Narrow" w:hAnsi="Archivo Narrow"/>
          <w:sz w:val="24"/>
          <w:szCs w:val="24"/>
          <w:lang w:val="en-US"/>
        </w:rPr>
        <w:t>), stochastic volatility</w:t>
      </w:r>
      <w:r w:rsidR="00E74527">
        <w:rPr>
          <w:rFonts w:ascii="Archivo Narrow" w:hAnsi="Archivo Narrow"/>
          <w:sz w:val="24"/>
          <w:szCs w:val="24"/>
          <w:lang w:val="en-US"/>
        </w:rPr>
        <w:t xml:space="preserve"> </w:t>
      </w:r>
      <w:r w:rsidR="0035566E">
        <w:rPr>
          <w:rFonts w:ascii="Archivo Narrow" w:hAnsi="Archivo Narrow"/>
          <w:sz w:val="24"/>
          <w:szCs w:val="24"/>
          <w:lang w:val="en-US"/>
        </w:rPr>
        <w:t>(</w:t>
      </w:r>
      <w:r w:rsidR="0035566E" w:rsidRPr="00E74527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Sv100</w:t>
      </w:r>
      <w:r w:rsidR="0035566E">
        <w:rPr>
          <w:rFonts w:ascii="Archivo Narrow" w:hAnsi="Archivo Narrow"/>
          <w:sz w:val="24"/>
          <w:szCs w:val="24"/>
          <w:lang w:val="en-US"/>
        </w:rPr>
        <w:t>) and stochastic-local-volatility mixture models with a mixing factor of 75% (</w:t>
      </w:r>
      <w:r w:rsidR="0035566E" w:rsidRPr="00E74527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Slv75</w:t>
      </w:r>
      <w:r w:rsidR="0035566E">
        <w:rPr>
          <w:rFonts w:ascii="Archivo Narrow" w:hAnsi="Archivo Narrow"/>
          <w:sz w:val="24"/>
          <w:szCs w:val="24"/>
          <w:lang w:val="en-US"/>
        </w:rPr>
        <w:t xml:space="preserve">), where 75 is just an example. </w:t>
      </w:r>
    </w:p>
    <w:p w14:paraId="40A89B6F" w14:textId="77777777" w:rsidR="00C008DE" w:rsidRDefault="00C008DE" w:rsidP="00BD091C">
      <w:pPr>
        <w:spacing w:before="100" w:beforeAutospacing="1" w:after="100" w:afterAutospacing="1"/>
        <w:rPr>
          <w:rFonts w:ascii="Archivo Narrow" w:hAnsi="Archivo Narrow"/>
          <w:sz w:val="24"/>
          <w:szCs w:val="24"/>
          <w:lang w:val="en-US"/>
        </w:rPr>
      </w:pPr>
    </w:p>
    <w:p w14:paraId="1F5FBFED" w14:textId="77777777" w:rsidR="00130096" w:rsidRDefault="005A6AD0" w:rsidP="00BD091C">
      <w:pPr>
        <w:spacing w:before="100" w:beforeAutospacing="1" w:after="100" w:afterAutospacing="1"/>
        <w:rPr>
          <w:rFonts w:ascii="Archivo Narrow" w:hAnsi="Archivo Narrow"/>
          <w:sz w:val="24"/>
          <w:szCs w:val="24"/>
          <w:lang w:val="en-US"/>
        </w:rPr>
      </w:pPr>
      <w:r>
        <w:rPr>
          <w:rFonts w:ascii="Archivo Narrow" w:hAnsi="Archivo Narrow"/>
          <w:sz w:val="24"/>
          <w:szCs w:val="24"/>
          <w:lang w:val="en-US"/>
        </w:rPr>
        <w:t xml:space="preserve"> </w:t>
      </w:r>
    </w:p>
    <w:p w14:paraId="3752AF54" w14:textId="149DC3F4" w:rsidR="006B01F1" w:rsidRPr="00130096" w:rsidRDefault="0035566E" w:rsidP="00BD091C">
      <w:pPr>
        <w:spacing w:before="100" w:beforeAutospacing="1" w:after="100" w:afterAutospacing="1"/>
        <w:rPr>
          <w:rFonts w:ascii="Archivo Narrow" w:hAnsi="Archivo Narrow"/>
          <w:sz w:val="24"/>
          <w:szCs w:val="24"/>
          <w:lang w:val="en-US"/>
        </w:rPr>
      </w:pPr>
      <w:r>
        <w:rPr>
          <w:rFonts w:ascii="Archivo Narrow" w:hAnsi="Archivo Narrow"/>
          <w:sz w:val="24"/>
          <w:szCs w:val="24"/>
          <w:lang w:val="en-US"/>
        </w:rPr>
        <w:t>We visualize in</w:t>
      </w:r>
      <w:r w:rsidR="00130096">
        <w:rPr>
          <w:rFonts w:ascii="Archivo Narrow" w:hAnsi="Archivo Narrow"/>
          <w:sz w:val="24"/>
          <w:szCs w:val="24"/>
          <w:lang w:val="en-US"/>
        </w:rPr>
        <w:t xml:space="preserve"> </w:t>
      </w:r>
      <w:r w:rsidR="006B01F1">
        <w:fldChar w:fldCharType="begin"/>
      </w:r>
      <w:r w:rsidR="006B01F1">
        <w:instrText xml:space="preserve"> REF _Ref2102846 \h  \* MERGEFORMAT </w:instrText>
      </w:r>
      <w:r w:rsidR="006B01F1">
        <w:fldChar w:fldCharType="separate"/>
      </w:r>
      <w:r w:rsidR="004C752A" w:rsidRPr="004C752A">
        <w:rPr>
          <w:rFonts w:ascii="Archivo Narrow" w:hAnsi="Archivo Narrow"/>
          <w:sz w:val="24"/>
          <w:szCs w:val="24"/>
          <w:lang w:val="en-US"/>
        </w:rPr>
        <w:t>Figure 2</w:t>
      </w:r>
      <w:r w:rsidR="00000000">
        <w:fldChar w:fldCharType="end"/>
      </w:r>
      <w:r w:rsidR="00130096" w:rsidRPr="00C21CD8">
        <w:rPr>
          <w:rFonts w:ascii="Archivo Narrow" w:hAnsi="Archivo Narrow"/>
          <w:sz w:val="24"/>
          <w:szCs w:val="24"/>
          <w:lang w:val="en-US"/>
        </w:rPr>
        <w:t xml:space="preserve"> </w:t>
      </w:r>
      <w:r>
        <w:rPr>
          <w:rFonts w:ascii="Archivo Narrow" w:hAnsi="Archivo Narrow"/>
          <w:sz w:val="24"/>
          <w:szCs w:val="24"/>
          <w:lang w:val="en-US"/>
        </w:rPr>
        <w:t xml:space="preserve">how the models can be calibrated to the vanilla options market: Obviously, </w:t>
      </w:r>
      <w:r w:rsidRPr="00E74527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Smile</w:t>
      </w:r>
      <w:r>
        <w:rPr>
          <w:rFonts w:ascii="Archivo Narrow" w:hAnsi="Archivo Narrow"/>
          <w:sz w:val="24"/>
          <w:szCs w:val="24"/>
          <w:lang w:val="en-US"/>
        </w:rPr>
        <w:t xml:space="preserve">, </w:t>
      </w:r>
      <w:proofErr w:type="spellStart"/>
      <w:r w:rsidRPr="00E74527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Lv</w:t>
      </w:r>
      <w:proofErr w:type="spellEnd"/>
      <w:r>
        <w:rPr>
          <w:rFonts w:ascii="Archivo Narrow" w:hAnsi="Archivo Narrow"/>
          <w:sz w:val="24"/>
          <w:szCs w:val="24"/>
          <w:lang w:val="en-US"/>
        </w:rPr>
        <w:t xml:space="preserve"> and </w:t>
      </w:r>
      <w:r w:rsidRPr="00E74527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Slv75</w:t>
      </w:r>
      <w:r>
        <w:rPr>
          <w:rFonts w:ascii="Archivo Narrow" w:hAnsi="Archivo Narrow"/>
          <w:sz w:val="24"/>
          <w:szCs w:val="24"/>
          <w:lang w:val="en-US"/>
        </w:rPr>
        <w:t xml:space="preserve"> fit the vanilla option</w:t>
      </w:r>
      <w:r w:rsidR="000A011C">
        <w:rPr>
          <w:rFonts w:ascii="Archivo Narrow" w:hAnsi="Archivo Narrow"/>
          <w:sz w:val="24"/>
          <w:szCs w:val="24"/>
          <w:lang w:val="en-US"/>
        </w:rPr>
        <w:t xml:space="preserve"> price</w:t>
      </w:r>
      <w:r>
        <w:rPr>
          <w:rFonts w:ascii="Archivo Narrow" w:hAnsi="Archivo Narrow"/>
          <w:sz w:val="24"/>
          <w:szCs w:val="24"/>
          <w:lang w:val="en-US"/>
        </w:rPr>
        <w:t>s by construction and exhibit a flat line</w:t>
      </w:r>
      <w:r w:rsidR="006C70B1" w:rsidRPr="00C21CD8">
        <w:rPr>
          <w:rFonts w:ascii="Archivo Narrow" w:hAnsi="Archivo Narrow"/>
          <w:sz w:val="24"/>
          <w:szCs w:val="24"/>
          <w:lang w:val="en-US"/>
        </w:rPr>
        <w:t>.</w:t>
      </w:r>
      <w:r>
        <w:rPr>
          <w:rFonts w:ascii="Archivo Narrow" w:hAnsi="Archivo Narrow"/>
          <w:sz w:val="24"/>
          <w:szCs w:val="24"/>
          <w:lang w:val="en-US"/>
        </w:rPr>
        <w:t xml:space="preserve"> </w:t>
      </w:r>
      <w:r w:rsidRPr="00E74527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Vv2</w:t>
      </w:r>
      <w:r>
        <w:rPr>
          <w:rFonts w:ascii="Archivo Narrow" w:hAnsi="Archivo Narrow"/>
          <w:sz w:val="24"/>
          <w:szCs w:val="24"/>
          <w:lang w:val="en-US"/>
        </w:rPr>
        <w:t xml:space="preserve"> and </w:t>
      </w:r>
      <w:r w:rsidRPr="00E74527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Sv100</w:t>
      </w:r>
      <w:r>
        <w:rPr>
          <w:rFonts w:ascii="Archivo Narrow" w:hAnsi="Archivo Narrow"/>
          <w:sz w:val="24"/>
          <w:szCs w:val="24"/>
          <w:lang w:val="en-US"/>
        </w:rPr>
        <w:t xml:space="preserve"> don’t fit the vanilla smile perfectly, particularly not on the wings. </w:t>
      </w:r>
      <w:r w:rsidR="006C70B1" w:rsidRPr="00C21CD8">
        <w:rPr>
          <w:rFonts w:ascii="Archivo Narrow" w:hAnsi="Archivo Narrow"/>
          <w:sz w:val="24"/>
          <w:szCs w:val="24"/>
          <w:lang w:val="en-US"/>
        </w:rPr>
        <w:t xml:space="preserve"> </w:t>
      </w:r>
      <w:r w:rsidR="000A011C" w:rsidRPr="000A011C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Vv2</w:t>
      </w:r>
      <w:r w:rsidR="000A011C">
        <w:rPr>
          <w:rFonts w:ascii="Archivo Narrow" w:hAnsi="Archivo Narrow"/>
          <w:sz w:val="24"/>
          <w:szCs w:val="24"/>
          <w:lang w:val="en-US"/>
        </w:rPr>
        <w:t xml:space="preserve"> does not take the information beyond 25-delta into account, thus a good fit for low deltas or far away strikes is not expected. </w:t>
      </w:r>
      <w:r w:rsidR="000A011C" w:rsidRPr="000A011C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Sv100</w:t>
      </w:r>
      <w:r w:rsidR="000A011C">
        <w:rPr>
          <w:rFonts w:ascii="Archivo Narrow" w:hAnsi="Archivo Narrow"/>
          <w:sz w:val="24"/>
          <w:szCs w:val="24"/>
          <w:lang w:val="en-US"/>
        </w:rPr>
        <w:t xml:space="preserve"> does to the best possible fit via minimization of the distance of the model from the market. Consequently, even this stochastic volatility approach is not expected to yield a perfect fit. </w:t>
      </w:r>
    </w:p>
    <w:p w14:paraId="7A1D073F" w14:textId="77777777" w:rsidR="00130096" w:rsidRDefault="00C008DE" w:rsidP="00130096">
      <w:pPr>
        <w:keepNext/>
        <w:spacing w:before="100" w:beforeAutospacing="1" w:after="100" w:afterAutospacing="1"/>
        <w:jc w:val="center"/>
      </w:pPr>
      <w:r>
        <w:rPr>
          <w:noProof/>
          <w:lang w:eastAsia="de-DE"/>
        </w:rPr>
        <w:drawing>
          <wp:inline distT="0" distB="0" distL="0" distR="0" wp14:anchorId="7E8052DF" wp14:editId="1BF82987">
            <wp:extent cx="5760720" cy="4284345"/>
            <wp:effectExtent l="19050" t="0" r="0" b="0"/>
            <wp:docPr id="2" name="Picture 1" descr="USDJPY-20180123-9M-VanillaVolDiffs-HL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DJPY-20180123-9M-VanillaVolDiffs-HLVV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C0501" w14:textId="0CD1FFDA" w:rsidR="00130096" w:rsidRPr="00AB7D70" w:rsidRDefault="00130096" w:rsidP="00130096">
      <w:pPr>
        <w:pStyle w:val="Beschriftung"/>
        <w:jc w:val="center"/>
        <w:rPr>
          <w:rFonts w:ascii="Archivo Narrow" w:hAnsi="Archivo Narrow"/>
          <w:color w:val="339999"/>
          <w:sz w:val="24"/>
          <w:szCs w:val="24"/>
          <w:lang w:val="en-US"/>
        </w:rPr>
      </w:pPr>
      <w:bookmarkStart w:id="1" w:name="_Ref2102846"/>
      <w:r w:rsidRPr="00AB7D70">
        <w:rPr>
          <w:rFonts w:ascii="Archivo Narrow" w:hAnsi="Archivo Narrow"/>
          <w:color w:val="339999"/>
          <w:sz w:val="24"/>
          <w:szCs w:val="24"/>
          <w:lang w:val="en-US"/>
        </w:rPr>
        <w:t xml:space="preserve">Figure </w:t>
      </w:r>
      <w:r w:rsidR="001823A3" w:rsidRPr="00AB7D70">
        <w:rPr>
          <w:rFonts w:ascii="Archivo Narrow" w:hAnsi="Archivo Narrow"/>
          <w:color w:val="339999"/>
          <w:sz w:val="24"/>
          <w:szCs w:val="24"/>
          <w:lang w:val="en-US"/>
        </w:rPr>
        <w:fldChar w:fldCharType="begin"/>
      </w:r>
      <w:r w:rsidRPr="00AB7D70">
        <w:rPr>
          <w:rFonts w:ascii="Archivo Narrow" w:hAnsi="Archivo Narrow"/>
          <w:color w:val="339999"/>
          <w:sz w:val="24"/>
          <w:szCs w:val="24"/>
          <w:lang w:val="en-US"/>
        </w:rPr>
        <w:instrText xml:space="preserve"> SEQ Figure \* ARABIC </w:instrText>
      </w:r>
      <w:r w:rsidR="001823A3" w:rsidRPr="00AB7D70">
        <w:rPr>
          <w:rFonts w:ascii="Archivo Narrow" w:hAnsi="Archivo Narrow"/>
          <w:color w:val="339999"/>
          <w:sz w:val="24"/>
          <w:szCs w:val="24"/>
          <w:lang w:val="en-US"/>
        </w:rPr>
        <w:fldChar w:fldCharType="separate"/>
      </w:r>
      <w:r w:rsidR="004C752A">
        <w:rPr>
          <w:rFonts w:ascii="Archivo Narrow" w:hAnsi="Archivo Narrow"/>
          <w:noProof/>
          <w:color w:val="339999"/>
          <w:sz w:val="24"/>
          <w:szCs w:val="24"/>
          <w:lang w:val="en-US"/>
        </w:rPr>
        <w:t>2</w:t>
      </w:r>
      <w:r w:rsidR="001823A3" w:rsidRPr="00AB7D70">
        <w:rPr>
          <w:rFonts w:ascii="Archivo Narrow" w:hAnsi="Archivo Narrow"/>
          <w:color w:val="339999"/>
          <w:sz w:val="24"/>
          <w:szCs w:val="24"/>
          <w:lang w:val="en-US"/>
        </w:rPr>
        <w:fldChar w:fldCharType="end"/>
      </w:r>
      <w:bookmarkEnd w:id="1"/>
      <w:r w:rsidRPr="00AB7D70">
        <w:rPr>
          <w:rFonts w:ascii="Archivo Narrow" w:hAnsi="Archivo Narrow"/>
          <w:color w:val="339999"/>
          <w:sz w:val="24"/>
          <w:szCs w:val="24"/>
          <w:lang w:val="en-US"/>
        </w:rPr>
        <w:t xml:space="preserve">: </w:t>
      </w:r>
      <w:r w:rsidR="00C008DE">
        <w:rPr>
          <w:rFonts w:ascii="Archivo Narrow" w:hAnsi="Archivo Narrow"/>
          <w:color w:val="339999"/>
          <w:sz w:val="24"/>
          <w:szCs w:val="24"/>
          <w:lang w:val="en-US"/>
        </w:rPr>
        <w:t xml:space="preserve">USD/JPY model fit of 23 Jan 2018, strike on the x-axis, </w:t>
      </w:r>
      <w:r w:rsidR="006D6E78">
        <w:rPr>
          <w:rFonts w:ascii="Archivo Narrow" w:hAnsi="Archivo Narrow"/>
          <w:color w:val="339999"/>
          <w:sz w:val="24"/>
          <w:szCs w:val="24"/>
          <w:lang w:val="en-US"/>
        </w:rPr>
        <w:t>and differences</w:t>
      </w:r>
      <w:r w:rsidR="00C008DE">
        <w:rPr>
          <w:rFonts w:ascii="Archivo Narrow" w:hAnsi="Archivo Narrow"/>
          <w:color w:val="339999"/>
          <w:sz w:val="24"/>
          <w:szCs w:val="24"/>
          <w:lang w:val="en-US"/>
        </w:rPr>
        <w:t xml:space="preserve"> to ATM volatility on the y-axis, raw data sourced from Bloomberg, calculations by MathFinance.</w:t>
      </w:r>
    </w:p>
    <w:p w14:paraId="5048E0C9" w14:textId="77777777" w:rsidR="00130096" w:rsidRDefault="00130096" w:rsidP="00130096">
      <w:pPr>
        <w:spacing w:before="100" w:beforeAutospacing="1" w:after="100" w:afterAutospacing="1"/>
        <w:jc w:val="center"/>
        <w:rPr>
          <w:rFonts w:ascii="Archivo Narrow" w:hAnsi="Archivo Narrow"/>
          <w:sz w:val="24"/>
          <w:szCs w:val="24"/>
          <w:lang w:val="en-US"/>
        </w:rPr>
      </w:pPr>
    </w:p>
    <w:p w14:paraId="16E46EAA" w14:textId="77777777" w:rsidR="006D6E78" w:rsidRDefault="006D6E78" w:rsidP="00C21CD8">
      <w:pPr>
        <w:spacing w:before="100" w:beforeAutospacing="1" w:after="100" w:afterAutospacing="1"/>
        <w:rPr>
          <w:rFonts w:ascii="Archivo Narrow" w:hAnsi="Archivo Narrow"/>
          <w:sz w:val="24"/>
          <w:szCs w:val="24"/>
          <w:lang w:val="en-US"/>
        </w:rPr>
      </w:pPr>
      <w:r>
        <w:rPr>
          <w:rFonts w:ascii="Archivo Narrow" w:hAnsi="Archivo Narrow"/>
          <w:sz w:val="24"/>
          <w:szCs w:val="24"/>
          <w:lang w:val="en-US"/>
        </w:rPr>
        <w:lastRenderedPageBreak/>
        <w:t>This was the reason why 100% stochastic volatility models, like Heston, needed a local-volatility model mix, to fit the market input consistently. Local volatility models alone can fit the vanilla option prices</w:t>
      </w:r>
      <w:r w:rsidR="000A011C">
        <w:rPr>
          <w:rFonts w:ascii="Archivo Narrow" w:hAnsi="Archivo Narrow"/>
          <w:sz w:val="24"/>
          <w:szCs w:val="24"/>
          <w:lang w:val="en-US"/>
        </w:rPr>
        <w:t xml:space="preserve"> for one maturity perfectly</w:t>
      </w:r>
      <w:r>
        <w:rPr>
          <w:rFonts w:ascii="Archivo Narrow" w:hAnsi="Archivo Narrow"/>
          <w:sz w:val="24"/>
          <w:szCs w:val="24"/>
          <w:lang w:val="en-US"/>
        </w:rPr>
        <w:t xml:space="preserve">, but </w:t>
      </w:r>
      <w:r w:rsidR="000A011C">
        <w:rPr>
          <w:rFonts w:ascii="Archivo Narrow" w:hAnsi="Archivo Narrow"/>
          <w:sz w:val="24"/>
          <w:szCs w:val="24"/>
          <w:lang w:val="en-US"/>
        </w:rPr>
        <w:t xml:space="preserve">tend to misprice path-dependent claims, e.g. </w:t>
      </w:r>
      <w:r>
        <w:rPr>
          <w:rFonts w:ascii="Archivo Narrow" w:hAnsi="Archivo Narrow"/>
          <w:sz w:val="24"/>
          <w:szCs w:val="24"/>
          <w:lang w:val="en-US"/>
        </w:rPr>
        <w:t xml:space="preserve">tend to overprice touch contracts. Therefore, one either starts with a stochastic volatility </w:t>
      </w:r>
      <w:r w:rsidR="000A011C">
        <w:rPr>
          <w:rFonts w:ascii="Archivo Narrow" w:hAnsi="Archivo Narrow"/>
          <w:sz w:val="24"/>
          <w:szCs w:val="24"/>
          <w:lang w:val="en-US"/>
        </w:rPr>
        <w:t>model,</w:t>
      </w:r>
      <w:r>
        <w:rPr>
          <w:rFonts w:ascii="Archivo Narrow" w:hAnsi="Archivo Narrow"/>
          <w:sz w:val="24"/>
          <w:szCs w:val="24"/>
          <w:lang w:val="en-US"/>
        </w:rPr>
        <w:t xml:space="preserve"> adds a local volatility to straighten up</w:t>
      </w:r>
      <w:r w:rsidR="000A011C">
        <w:rPr>
          <w:rFonts w:ascii="Archivo Narrow" w:hAnsi="Archivo Narrow"/>
          <w:sz w:val="24"/>
          <w:szCs w:val="24"/>
          <w:lang w:val="en-US"/>
        </w:rPr>
        <w:t xml:space="preserve"> calibration to fit the vanilla option prices</w:t>
      </w:r>
      <w:r>
        <w:rPr>
          <w:rFonts w:ascii="Archivo Narrow" w:hAnsi="Archivo Narrow"/>
          <w:sz w:val="24"/>
          <w:szCs w:val="24"/>
          <w:lang w:val="en-US"/>
        </w:rPr>
        <w:t xml:space="preserve">, or one starts with local volatility </w:t>
      </w:r>
      <w:r w:rsidR="000A011C">
        <w:rPr>
          <w:rFonts w:ascii="Archivo Narrow" w:hAnsi="Archivo Narrow"/>
          <w:sz w:val="24"/>
          <w:szCs w:val="24"/>
          <w:lang w:val="en-US"/>
        </w:rPr>
        <w:t xml:space="preserve">models and mixes them randomly, the so-called local-volatility mixture approach. </w:t>
      </w:r>
    </w:p>
    <w:p w14:paraId="54763BF5" w14:textId="70034CC7" w:rsidR="00EC5C54" w:rsidRDefault="000A011C" w:rsidP="00C21CD8">
      <w:pPr>
        <w:spacing w:before="100" w:beforeAutospacing="1" w:after="100" w:afterAutospacing="1"/>
        <w:rPr>
          <w:rFonts w:ascii="Archivo Narrow" w:hAnsi="Archivo Narrow"/>
          <w:sz w:val="24"/>
          <w:szCs w:val="24"/>
          <w:lang w:val="en-US"/>
        </w:rPr>
      </w:pPr>
      <w:r>
        <w:rPr>
          <w:rFonts w:ascii="Archivo Narrow" w:hAnsi="Archivo Narrow"/>
          <w:sz w:val="24"/>
          <w:szCs w:val="24"/>
          <w:lang w:val="en-US"/>
        </w:rPr>
        <w:t>We illustrate the effect for</w:t>
      </w:r>
      <w:r w:rsidR="006D6E78">
        <w:rPr>
          <w:rFonts w:ascii="Archivo Narrow" w:hAnsi="Archivo Narrow"/>
          <w:sz w:val="24"/>
          <w:szCs w:val="24"/>
          <w:lang w:val="en-US"/>
        </w:rPr>
        <w:t xml:space="preserve"> a 9-month one-touch contract </w:t>
      </w:r>
      <w:r>
        <w:rPr>
          <w:rFonts w:ascii="Archivo Narrow" w:hAnsi="Archivo Narrow"/>
          <w:sz w:val="24"/>
          <w:szCs w:val="24"/>
          <w:lang w:val="en-US"/>
        </w:rPr>
        <w:t xml:space="preserve">in USD/JPY </w:t>
      </w:r>
      <w:r w:rsidR="006D6E78">
        <w:rPr>
          <w:rFonts w:ascii="Archivo Narrow" w:hAnsi="Archivo Narrow"/>
          <w:sz w:val="24"/>
          <w:szCs w:val="24"/>
          <w:lang w:val="en-US"/>
        </w:rPr>
        <w:t>with a touch-level below initial spot</w:t>
      </w:r>
      <w:r w:rsidR="00516DD8">
        <w:rPr>
          <w:rFonts w:ascii="Archivo Narrow" w:hAnsi="Archivo Narrow"/>
          <w:sz w:val="24"/>
          <w:szCs w:val="24"/>
          <w:lang w:val="en-US"/>
        </w:rPr>
        <w:t xml:space="preserve"> (</w:t>
      </w:r>
      <w:proofErr w:type="spellStart"/>
      <w:r w:rsidR="00516DD8">
        <w:rPr>
          <w:rFonts w:ascii="Archivo Narrow" w:hAnsi="Archivo Narrow"/>
          <w:sz w:val="24"/>
          <w:szCs w:val="24"/>
          <w:lang w:val="en-US"/>
        </w:rPr>
        <w:t>TouchDown</w:t>
      </w:r>
      <w:proofErr w:type="spellEnd"/>
      <w:r w:rsidR="00516DD8">
        <w:rPr>
          <w:rFonts w:ascii="Archivo Narrow" w:hAnsi="Archivo Narrow"/>
          <w:sz w:val="24"/>
          <w:szCs w:val="24"/>
          <w:lang w:val="en-US"/>
        </w:rPr>
        <w:t>)</w:t>
      </w:r>
      <w:r w:rsidR="006D6E78">
        <w:rPr>
          <w:rFonts w:ascii="Archivo Narrow" w:hAnsi="Archivo Narrow"/>
          <w:sz w:val="24"/>
          <w:szCs w:val="24"/>
          <w:lang w:val="en-US"/>
        </w:rPr>
        <w:t>. A common way to visualize the model-impact is to use the x-axis for the theoretical value (</w:t>
      </w:r>
      <w:r w:rsidR="006D6E78" w:rsidRPr="00E74527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TV</w:t>
      </w:r>
      <w:r w:rsidR="006D6E78">
        <w:rPr>
          <w:rFonts w:ascii="Archivo Narrow" w:hAnsi="Archivo Narrow"/>
          <w:sz w:val="24"/>
          <w:szCs w:val="24"/>
          <w:lang w:val="en-US"/>
        </w:rPr>
        <w:t xml:space="preserve">) of the One-Touch, and the difference to the </w:t>
      </w:r>
      <w:r w:rsidR="006D6E78" w:rsidRPr="000A011C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TV</w:t>
      </w:r>
      <w:r w:rsidR="006D6E78">
        <w:rPr>
          <w:rFonts w:ascii="Archivo Narrow" w:hAnsi="Archivo Narrow"/>
          <w:sz w:val="24"/>
          <w:szCs w:val="24"/>
          <w:lang w:val="en-US"/>
        </w:rPr>
        <w:t xml:space="preserve"> on the y-axis for the other models. </w:t>
      </w:r>
      <w:r w:rsidR="00516DD8">
        <w:rPr>
          <w:rFonts w:ascii="Archivo Narrow" w:hAnsi="Archivo Narrow"/>
          <w:sz w:val="24"/>
          <w:szCs w:val="24"/>
          <w:lang w:val="en-US"/>
        </w:rPr>
        <w:t xml:space="preserve">Remember </w:t>
      </w:r>
      <w:r w:rsidR="00516DD8" w:rsidRPr="00516DD8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TV</w:t>
      </w:r>
      <w:r w:rsidR="00516DD8">
        <w:rPr>
          <w:rFonts w:ascii="Archivo Narrow" w:hAnsi="Archivo Narrow"/>
          <w:sz w:val="24"/>
          <w:szCs w:val="24"/>
          <w:lang w:val="en-US"/>
        </w:rPr>
        <w:t xml:space="preserve"> stands for </w:t>
      </w:r>
      <w:r w:rsidR="00516DD8" w:rsidRPr="00516DD8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T</w:t>
      </w:r>
      <w:r w:rsidR="00516DD8">
        <w:rPr>
          <w:rFonts w:ascii="Archivo Narrow" w:hAnsi="Archivo Narrow"/>
          <w:sz w:val="24"/>
          <w:szCs w:val="24"/>
          <w:lang w:val="en-US"/>
        </w:rPr>
        <w:t xml:space="preserve">heoretical </w:t>
      </w:r>
      <w:r w:rsidR="00516DD8" w:rsidRPr="00516DD8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V</w:t>
      </w:r>
      <w:r w:rsidR="00516DD8">
        <w:rPr>
          <w:rFonts w:ascii="Archivo Narrow" w:hAnsi="Archivo Narrow"/>
          <w:sz w:val="24"/>
          <w:szCs w:val="24"/>
          <w:lang w:val="en-US"/>
        </w:rPr>
        <w:t xml:space="preserve">alue, not </w:t>
      </w:r>
      <w:proofErr w:type="spellStart"/>
      <w:r w:rsidR="00516DD8" w:rsidRPr="00516DD8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T</w:t>
      </w:r>
      <w:r w:rsidR="00516DD8">
        <w:rPr>
          <w:rFonts w:ascii="Archivo Narrow" w:hAnsi="Archivo Narrow"/>
          <w:sz w:val="24"/>
          <w:szCs w:val="24"/>
          <w:lang w:val="en-US"/>
        </w:rPr>
        <w:t>ele</w:t>
      </w:r>
      <w:r w:rsidR="00516DD8" w:rsidRPr="00516DD8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V</w:t>
      </w:r>
      <w:r w:rsidR="00516DD8">
        <w:rPr>
          <w:rFonts w:ascii="Archivo Narrow" w:hAnsi="Archivo Narrow"/>
          <w:sz w:val="24"/>
          <w:szCs w:val="24"/>
          <w:lang w:val="en-US"/>
        </w:rPr>
        <w:t>ision</w:t>
      </w:r>
      <w:proofErr w:type="spellEnd"/>
      <w:r w:rsidR="00516DD8">
        <w:rPr>
          <w:rFonts w:ascii="Archivo Narrow" w:hAnsi="Archivo Narrow"/>
          <w:sz w:val="24"/>
          <w:szCs w:val="24"/>
          <w:lang w:val="en-US"/>
        </w:rPr>
        <w:t xml:space="preserve">, and represents the value calculated in the Black-Scholes model using the at-the-money volatility without applying and smile or term structure. The </w:t>
      </w:r>
      <w:r w:rsidR="00516DD8" w:rsidRPr="00516DD8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TV</w:t>
      </w:r>
      <w:r w:rsidR="00516DD8">
        <w:rPr>
          <w:rFonts w:ascii="Archivo Narrow" w:hAnsi="Archivo Narrow"/>
          <w:sz w:val="24"/>
          <w:szCs w:val="24"/>
          <w:lang w:val="en-US"/>
        </w:rPr>
        <w:t xml:space="preserve"> is used by market participants as a checksum. </w:t>
      </w:r>
      <w:r w:rsidR="006D6E78">
        <w:rPr>
          <w:rFonts w:ascii="Archivo Narrow" w:hAnsi="Archivo Narrow"/>
          <w:sz w:val="24"/>
          <w:szCs w:val="24"/>
          <w:lang w:val="en-US"/>
        </w:rPr>
        <w:t xml:space="preserve">Note that the touch level is varied to create </w:t>
      </w:r>
      <w:r w:rsidR="006D6E78" w:rsidRPr="000A011C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TV</w:t>
      </w:r>
      <w:r w:rsidR="006D6E78">
        <w:rPr>
          <w:rFonts w:ascii="Archivo Narrow" w:hAnsi="Archivo Narrow"/>
          <w:sz w:val="24"/>
          <w:szCs w:val="24"/>
          <w:lang w:val="en-US"/>
        </w:rPr>
        <w:t xml:space="preserve">s ranging from </w:t>
      </w:r>
      <w:r w:rsidR="00DB5EB6">
        <w:rPr>
          <w:rFonts w:ascii="Archivo Narrow" w:hAnsi="Archivo Narrow"/>
          <w:sz w:val="24"/>
          <w:szCs w:val="24"/>
          <w:lang w:val="en-US"/>
        </w:rPr>
        <w:t xml:space="preserve">0=0% (touch level very far from spot) and 1=100% (touch level on the spot). </w:t>
      </w:r>
      <w:r w:rsidR="006D6E78">
        <w:rPr>
          <w:rFonts w:ascii="Archivo Narrow" w:hAnsi="Archivo Narrow"/>
          <w:sz w:val="24"/>
          <w:szCs w:val="24"/>
          <w:lang w:val="en-US"/>
        </w:rPr>
        <w:t xml:space="preserve">As a result, the </w:t>
      </w:r>
      <w:r w:rsidR="006D6E78" w:rsidRPr="00E74527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Slv75</w:t>
      </w:r>
      <w:r w:rsidR="006D6E78">
        <w:rPr>
          <w:rFonts w:ascii="Archivo Narrow" w:hAnsi="Archivo Narrow"/>
          <w:sz w:val="24"/>
          <w:szCs w:val="24"/>
          <w:lang w:val="en-US"/>
        </w:rPr>
        <w:t xml:space="preserve"> comes to lie between the </w:t>
      </w:r>
      <w:r w:rsidR="006D6E78" w:rsidRPr="000A011C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Sv100</w:t>
      </w:r>
      <w:r w:rsidR="006D6E78">
        <w:rPr>
          <w:rFonts w:ascii="Archivo Narrow" w:hAnsi="Archivo Narrow"/>
          <w:sz w:val="24"/>
          <w:szCs w:val="24"/>
          <w:lang w:val="en-US"/>
        </w:rPr>
        <w:t xml:space="preserve"> and the </w:t>
      </w:r>
      <w:proofErr w:type="spellStart"/>
      <w:r w:rsidR="006D6E78" w:rsidRPr="000A011C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Lv</w:t>
      </w:r>
      <w:proofErr w:type="spellEnd"/>
      <w:r w:rsidR="006D6E78">
        <w:rPr>
          <w:rFonts w:ascii="Archivo Narrow" w:hAnsi="Archivo Narrow"/>
          <w:sz w:val="24"/>
          <w:szCs w:val="24"/>
          <w:lang w:val="en-US"/>
        </w:rPr>
        <w:t xml:space="preserve">, as can be </w:t>
      </w:r>
      <w:proofErr w:type="spellStart"/>
      <w:r w:rsidR="006D6E78">
        <w:rPr>
          <w:rFonts w:ascii="Archivo Narrow" w:hAnsi="Archivo Narrow"/>
          <w:sz w:val="24"/>
          <w:szCs w:val="24"/>
          <w:lang w:val="en-US"/>
        </w:rPr>
        <w:t>see</w:t>
      </w:r>
      <w:proofErr w:type="spellEnd"/>
      <w:r w:rsidR="006D6E78">
        <w:rPr>
          <w:rFonts w:ascii="Archivo Narrow" w:hAnsi="Archivo Narrow"/>
          <w:sz w:val="24"/>
          <w:szCs w:val="24"/>
          <w:lang w:val="en-US"/>
        </w:rPr>
        <w:t xml:space="preserve"> in </w:t>
      </w:r>
      <w:r w:rsidR="00EC5C54">
        <w:fldChar w:fldCharType="begin"/>
      </w:r>
      <w:r w:rsidR="00EC5C54">
        <w:instrText xml:space="preserve"> REF _Ref532815459 \h  \* MERGEFORMAT </w:instrText>
      </w:r>
      <w:r w:rsidR="00EC5C54">
        <w:fldChar w:fldCharType="separate"/>
      </w:r>
      <w:r w:rsidR="004C752A" w:rsidRPr="004C752A">
        <w:rPr>
          <w:rFonts w:ascii="Archivo Narrow" w:hAnsi="Archivo Narrow"/>
          <w:sz w:val="24"/>
          <w:szCs w:val="24"/>
          <w:lang w:val="en-US"/>
        </w:rPr>
        <w:t>Figure 3</w:t>
      </w:r>
      <w:r w:rsidR="00000000">
        <w:fldChar w:fldCharType="end"/>
      </w:r>
      <w:r w:rsidR="006D6E78" w:rsidRPr="006D6E78">
        <w:rPr>
          <w:rFonts w:ascii="Archivo Narrow" w:hAnsi="Archivo Narrow"/>
          <w:sz w:val="24"/>
          <w:szCs w:val="24"/>
          <w:lang w:val="en-US"/>
        </w:rPr>
        <w:t xml:space="preserve">. </w:t>
      </w:r>
    </w:p>
    <w:p w14:paraId="56E71BCA" w14:textId="77777777" w:rsidR="0071171B" w:rsidRPr="00EC5C54" w:rsidRDefault="00907734" w:rsidP="00C21CD8">
      <w:pPr>
        <w:spacing w:before="100" w:beforeAutospacing="1" w:after="100" w:afterAutospacing="1"/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1A5DE4E8" wp14:editId="1F2348FD">
            <wp:extent cx="5760720" cy="4302125"/>
            <wp:effectExtent l="19050" t="0" r="0" b="0"/>
            <wp:docPr id="1" name="Picture 0" descr="USDJPY-20180123-9M-TouchDown-HL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DJPY-20180123-9M-TouchDown-HLVV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202E6" w14:textId="3A4A86FE" w:rsidR="00C21CD8" w:rsidRDefault="0071171B" w:rsidP="006D6E78">
      <w:pPr>
        <w:pStyle w:val="Beschriftung"/>
        <w:jc w:val="center"/>
        <w:rPr>
          <w:rFonts w:ascii="Archivo Narrow" w:hAnsi="Archivo Narrow"/>
          <w:sz w:val="24"/>
          <w:szCs w:val="24"/>
          <w:lang w:val="en-US"/>
        </w:rPr>
      </w:pPr>
      <w:bookmarkStart w:id="2" w:name="_Ref532815459"/>
      <w:r w:rsidRPr="00AB7D70">
        <w:rPr>
          <w:rFonts w:ascii="Archivo Narrow" w:hAnsi="Archivo Narrow"/>
          <w:color w:val="339999"/>
          <w:sz w:val="24"/>
          <w:szCs w:val="24"/>
          <w:lang w:val="en-US"/>
        </w:rPr>
        <w:lastRenderedPageBreak/>
        <w:t xml:space="preserve">Figure </w:t>
      </w:r>
      <w:r w:rsidR="001823A3" w:rsidRPr="00AB7D70">
        <w:rPr>
          <w:rFonts w:ascii="Archivo Narrow" w:hAnsi="Archivo Narrow"/>
          <w:color w:val="339999"/>
          <w:sz w:val="24"/>
          <w:szCs w:val="24"/>
          <w:lang w:val="en-US"/>
        </w:rPr>
        <w:fldChar w:fldCharType="begin"/>
      </w:r>
      <w:r w:rsidRPr="00AB7D70">
        <w:rPr>
          <w:rFonts w:ascii="Archivo Narrow" w:hAnsi="Archivo Narrow"/>
          <w:color w:val="339999"/>
          <w:sz w:val="24"/>
          <w:szCs w:val="24"/>
          <w:lang w:val="en-US"/>
        </w:rPr>
        <w:instrText xml:space="preserve"> SEQ Figure \* ARABIC </w:instrText>
      </w:r>
      <w:r w:rsidR="001823A3" w:rsidRPr="00AB7D70">
        <w:rPr>
          <w:rFonts w:ascii="Archivo Narrow" w:hAnsi="Archivo Narrow"/>
          <w:color w:val="339999"/>
          <w:sz w:val="24"/>
          <w:szCs w:val="24"/>
          <w:lang w:val="en-US"/>
        </w:rPr>
        <w:fldChar w:fldCharType="separate"/>
      </w:r>
      <w:r w:rsidR="004C752A">
        <w:rPr>
          <w:rFonts w:ascii="Archivo Narrow" w:hAnsi="Archivo Narrow"/>
          <w:noProof/>
          <w:color w:val="339999"/>
          <w:sz w:val="24"/>
          <w:szCs w:val="24"/>
          <w:lang w:val="en-US"/>
        </w:rPr>
        <w:t>3</w:t>
      </w:r>
      <w:r w:rsidR="001823A3" w:rsidRPr="00AB7D70">
        <w:rPr>
          <w:rFonts w:ascii="Archivo Narrow" w:hAnsi="Archivo Narrow"/>
          <w:color w:val="339999"/>
          <w:sz w:val="24"/>
          <w:szCs w:val="24"/>
          <w:lang w:val="en-US"/>
        </w:rPr>
        <w:fldChar w:fldCharType="end"/>
      </w:r>
      <w:bookmarkEnd w:id="2"/>
      <w:r w:rsidRPr="00AB7D70">
        <w:rPr>
          <w:rFonts w:ascii="Archivo Narrow" w:hAnsi="Archivo Narrow"/>
          <w:color w:val="339999"/>
          <w:sz w:val="24"/>
          <w:szCs w:val="24"/>
          <w:lang w:val="en-US"/>
        </w:rPr>
        <w:t xml:space="preserve">: </w:t>
      </w:r>
      <w:r w:rsidR="006D6E78">
        <w:rPr>
          <w:rFonts w:ascii="Archivo Narrow" w:hAnsi="Archivo Narrow"/>
          <w:color w:val="339999"/>
          <w:sz w:val="24"/>
          <w:szCs w:val="24"/>
          <w:lang w:val="en-US"/>
        </w:rPr>
        <w:t xml:space="preserve">USD/JPY </w:t>
      </w:r>
      <w:r w:rsidR="00AF4D84">
        <w:rPr>
          <w:rFonts w:ascii="Archivo Narrow" w:hAnsi="Archivo Narrow"/>
          <w:color w:val="339999"/>
          <w:sz w:val="24"/>
          <w:szCs w:val="24"/>
          <w:lang w:val="en-US"/>
        </w:rPr>
        <w:t xml:space="preserve">exotics </w:t>
      </w:r>
      <w:r w:rsidR="006D6E78">
        <w:rPr>
          <w:rFonts w:ascii="Archivo Narrow" w:hAnsi="Archivo Narrow"/>
          <w:color w:val="339999"/>
          <w:sz w:val="24"/>
          <w:szCs w:val="24"/>
          <w:lang w:val="en-US"/>
        </w:rPr>
        <w:t xml:space="preserve">model </w:t>
      </w:r>
      <w:r w:rsidR="00AF4D84">
        <w:rPr>
          <w:rFonts w:ascii="Archivo Narrow" w:hAnsi="Archivo Narrow"/>
          <w:color w:val="339999"/>
          <w:sz w:val="24"/>
          <w:szCs w:val="24"/>
          <w:lang w:val="en-US"/>
        </w:rPr>
        <w:t>comparison</w:t>
      </w:r>
      <w:r w:rsidR="006D6E78">
        <w:rPr>
          <w:rFonts w:ascii="Archivo Narrow" w:hAnsi="Archivo Narrow"/>
          <w:color w:val="339999"/>
          <w:sz w:val="24"/>
          <w:szCs w:val="24"/>
          <w:lang w:val="en-US"/>
        </w:rPr>
        <w:t xml:space="preserve"> of 23 Jan 2018, TV of a 9-month One-Touch with a lower barrier on the x-axis, and differences to TV on the y-axis, raw data sourced from Bloomberg, calculations by MathFinance.</w:t>
      </w:r>
    </w:p>
    <w:p w14:paraId="62D62EAF" w14:textId="77777777" w:rsidR="00DB5EB6" w:rsidRDefault="00DB5EB6" w:rsidP="00DB0C88">
      <w:pPr>
        <w:spacing w:before="100" w:beforeAutospacing="1" w:after="100" w:afterAutospacing="1"/>
        <w:rPr>
          <w:rFonts w:ascii="Archivo Narrow" w:hAnsi="Archivo Narrow"/>
          <w:sz w:val="24"/>
          <w:szCs w:val="24"/>
          <w:lang w:val="en-US"/>
        </w:rPr>
      </w:pPr>
    </w:p>
    <w:p w14:paraId="4DC9D69A" w14:textId="77777777" w:rsidR="00DB5EB6" w:rsidRDefault="00DB5EB6" w:rsidP="00DB0C88">
      <w:pPr>
        <w:spacing w:before="100" w:beforeAutospacing="1" w:after="100" w:afterAutospacing="1"/>
        <w:rPr>
          <w:rFonts w:ascii="Archivo Narrow" w:hAnsi="Archivo Narrow"/>
          <w:sz w:val="24"/>
          <w:szCs w:val="24"/>
          <w:lang w:val="en-US"/>
        </w:rPr>
      </w:pPr>
      <w:r>
        <w:rPr>
          <w:rFonts w:ascii="Archivo Narrow" w:hAnsi="Archivo Narrow"/>
          <w:sz w:val="24"/>
          <w:szCs w:val="24"/>
          <w:lang w:val="en-US"/>
        </w:rPr>
        <w:t xml:space="preserve">The mixture parameter, which is chosen to be 75% in our example, can be calibrated to One-Touch prices, if they are available. We also notice that the </w:t>
      </w:r>
      <w:proofErr w:type="spellStart"/>
      <w:r>
        <w:rPr>
          <w:rFonts w:ascii="Archivo Narrow" w:hAnsi="Archivo Narrow"/>
          <w:sz w:val="24"/>
          <w:szCs w:val="24"/>
          <w:lang w:val="en-US"/>
        </w:rPr>
        <w:t>vanna-volga</w:t>
      </w:r>
      <w:proofErr w:type="spellEnd"/>
      <w:r>
        <w:rPr>
          <w:rFonts w:ascii="Archivo Narrow" w:hAnsi="Archivo Narrow"/>
          <w:sz w:val="24"/>
          <w:szCs w:val="24"/>
          <w:lang w:val="en-US"/>
        </w:rPr>
        <w:t xml:space="preserve"> approach </w:t>
      </w:r>
      <w:r w:rsidRPr="000A011C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Vv2</w:t>
      </w:r>
      <w:r>
        <w:rPr>
          <w:rFonts w:ascii="Archivo Narrow" w:hAnsi="Archivo Narrow"/>
          <w:sz w:val="24"/>
          <w:szCs w:val="24"/>
          <w:lang w:val="en-US"/>
        </w:rPr>
        <w:t xml:space="preserve">, while similar to the other models, is slightly off; therefore, </w:t>
      </w:r>
      <w:r w:rsidR="000A011C">
        <w:rPr>
          <w:rFonts w:ascii="Archivo Narrow" w:hAnsi="Archivo Narrow"/>
          <w:sz w:val="24"/>
          <w:szCs w:val="24"/>
          <w:lang w:val="en-US"/>
        </w:rPr>
        <w:t>there are market participants using</w:t>
      </w:r>
      <w:r w:rsidR="000A011C" w:rsidRPr="000A011C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 xml:space="preserve"> Vv2</w:t>
      </w:r>
      <w:r>
        <w:rPr>
          <w:rFonts w:ascii="Archivo Narrow" w:hAnsi="Archivo Narrow"/>
          <w:sz w:val="24"/>
          <w:szCs w:val="24"/>
          <w:lang w:val="en-US"/>
        </w:rPr>
        <w:t xml:space="preserve"> for valuation purposes, but a market maker quoting bid and offer prices with a spread of 0.02=2% could potentially be off-market when using </w:t>
      </w:r>
      <w:r w:rsidRPr="000A011C">
        <w:rPr>
          <w:rFonts w:ascii="Archivo Narrow" w:hAnsi="Archivo Narrow"/>
          <w:b/>
          <w:bCs/>
          <w:color w:val="339999"/>
          <w:sz w:val="24"/>
          <w:szCs w:val="24"/>
          <w:lang w:val="en-US"/>
        </w:rPr>
        <w:t>Vv2</w:t>
      </w:r>
      <w:r>
        <w:rPr>
          <w:rFonts w:ascii="Archivo Narrow" w:hAnsi="Archivo Narrow"/>
          <w:sz w:val="24"/>
          <w:szCs w:val="24"/>
          <w:lang w:val="en-US"/>
        </w:rPr>
        <w:t xml:space="preserve">. </w:t>
      </w:r>
    </w:p>
    <w:p w14:paraId="533AA26B" w14:textId="383AE629" w:rsidR="00C26FB3" w:rsidRPr="00E276D2" w:rsidRDefault="00C26FB3" w:rsidP="00DB0C88">
      <w:pPr>
        <w:spacing w:before="100" w:beforeAutospacing="1" w:after="100" w:afterAutospacing="1"/>
        <w:rPr>
          <w:rFonts w:ascii="Archivo Narrow" w:hAnsi="Archivo Narrow"/>
          <w:sz w:val="24"/>
          <w:szCs w:val="24"/>
          <w:lang w:val="en-US"/>
        </w:rPr>
      </w:pPr>
      <w:r>
        <w:rPr>
          <w:rFonts w:ascii="Archivo Narrow" w:hAnsi="Archivo Narrow"/>
          <w:sz w:val="24"/>
          <w:szCs w:val="24"/>
          <w:lang w:val="en-US"/>
        </w:rPr>
        <w:t xml:space="preserve">This way of illustrating the smile effect for exotics is called the </w:t>
      </w:r>
      <w:r w:rsidRPr="000A011C">
        <w:rPr>
          <w:rFonts w:ascii="Archivo Narrow" w:hAnsi="Archivo Narrow"/>
          <w:i/>
          <w:sz w:val="24"/>
          <w:szCs w:val="24"/>
          <w:lang w:val="en-US"/>
        </w:rPr>
        <w:t>mustache</w:t>
      </w:r>
      <w:r>
        <w:rPr>
          <w:rFonts w:ascii="Archivo Narrow" w:hAnsi="Archivo Narrow"/>
          <w:sz w:val="24"/>
          <w:szCs w:val="24"/>
          <w:lang w:val="en-US"/>
        </w:rPr>
        <w:t>. The reason is that</w:t>
      </w:r>
      <w:r w:rsidR="000A011C">
        <w:rPr>
          <w:rFonts w:ascii="Archivo Narrow" w:hAnsi="Archivo Narrow"/>
          <w:sz w:val="24"/>
          <w:szCs w:val="24"/>
          <w:lang w:val="en-US"/>
        </w:rPr>
        <w:t>,</w:t>
      </w:r>
      <w:r>
        <w:rPr>
          <w:rFonts w:ascii="Archivo Narrow" w:hAnsi="Archivo Narrow"/>
          <w:sz w:val="24"/>
          <w:szCs w:val="24"/>
          <w:lang w:val="en-US"/>
        </w:rPr>
        <w:t xml:space="preserve"> if you also consider the graph for the One-Touch contracts with an upper barrier in </w:t>
      </w:r>
      <w:r>
        <w:fldChar w:fldCharType="begin"/>
      </w:r>
      <w:r>
        <w:instrText xml:space="preserve"> REF _Ref4669227 \h  \* MERGEFORMAT </w:instrText>
      </w:r>
      <w:r>
        <w:fldChar w:fldCharType="separate"/>
      </w:r>
      <w:r w:rsidR="004C752A" w:rsidRPr="004C752A">
        <w:rPr>
          <w:rFonts w:ascii="Archivo Narrow" w:hAnsi="Archivo Narrow"/>
          <w:sz w:val="24"/>
          <w:szCs w:val="24"/>
          <w:lang w:val="en-US"/>
        </w:rPr>
        <w:t>Figure 4</w:t>
      </w:r>
      <w:r w:rsidR="00000000">
        <w:fldChar w:fldCharType="end"/>
      </w:r>
      <w:r>
        <w:rPr>
          <w:rFonts w:ascii="Archivo Narrow" w:hAnsi="Archivo Narrow"/>
          <w:sz w:val="24"/>
          <w:szCs w:val="24"/>
          <w:lang w:val="en-US"/>
        </w:rPr>
        <w:t xml:space="preserve">, and paste the two graphs next to each other, </w:t>
      </w:r>
      <w:proofErr w:type="spellStart"/>
      <w:r>
        <w:rPr>
          <w:rFonts w:ascii="Archivo Narrow" w:hAnsi="Archivo Narrow"/>
          <w:sz w:val="24"/>
          <w:szCs w:val="24"/>
          <w:lang w:val="en-US"/>
        </w:rPr>
        <w:t>TouchUp</w:t>
      </w:r>
      <w:proofErr w:type="spellEnd"/>
      <w:r>
        <w:rPr>
          <w:rFonts w:ascii="Archivo Narrow" w:hAnsi="Archivo Narrow"/>
          <w:sz w:val="24"/>
          <w:szCs w:val="24"/>
          <w:lang w:val="en-US"/>
        </w:rPr>
        <w:t xml:space="preserve"> on the left, </w:t>
      </w:r>
      <w:proofErr w:type="spellStart"/>
      <w:r>
        <w:rPr>
          <w:rFonts w:ascii="Archivo Narrow" w:hAnsi="Archivo Narrow"/>
          <w:sz w:val="24"/>
          <w:szCs w:val="24"/>
          <w:lang w:val="en-US"/>
        </w:rPr>
        <w:t>TouchDown</w:t>
      </w:r>
      <w:proofErr w:type="spellEnd"/>
      <w:r>
        <w:rPr>
          <w:rFonts w:ascii="Archivo Narrow" w:hAnsi="Archivo Narrow"/>
          <w:sz w:val="24"/>
          <w:szCs w:val="24"/>
          <w:lang w:val="en-US"/>
        </w:rPr>
        <w:t xml:space="preserve"> on the right, the combined shape res</w:t>
      </w:r>
      <w:r w:rsidR="00E276D2">
        <w:rPr>
          <w:rFonts w:ascii="Archivo Narrow" w:hAnsi="Archivo Narrow"/>
          <w:sz w:val="24"/>
          <w:szCs w:val="24"/>
          <w:lang w:val="en-US"/>
        </w:rPr>
        <w:t xml:space="preserve">embles a mustache and is shown in </w:t>
      </w:r>
      <w:r>
        <w:fldChar w:fldCharType="begin"/>
      </w:r>
      <w:r>
        <w:instrText xml:space="preserve"> REF _Ref4669850 \h  \* MERGEFORMAT </w:instrText>
      </w:r>
      <w:r>
        <w:fldChar w:fldCharType="separate"/>
      </w:r>
      <w:r w:rsidR="004C752A" w:rsidRPr="004C752A">
        <w:rPr>
          <w:rFonts w:ascii="Archivo Narrow" w:hAnsi="Archivo Narrow"/>
          <w:sz w:val="24"/>
          <w:szCs w:val="24"/>
          <w:lang w:val="en-US"/>
        </w:rPr>
        <w:t>Figure 5</w:t>
      </w:r>
      <w:r w:rsidR="00000000">
        <w:fldChar w:fldCharType="end"/>
      </w:r>
      <w:r w:rsidR="00E276D2">
        <w:rPr>
          <w:rFonts w:ascii="Archivo Narrow" w:hAnsi="Archivo Narrow"/>
          <w:sz w:val="24"/>
          <w:szCs w:val="24"/>
          <w:lang w:val="en-US"/>
        </w:rPr>
        <w:t xml:space="preserve">. Very touchy. </w:t>
      </w:r>
    </w:p>
    <w:p w14:paraId="0B75BFDC" w14:textId="77777777" w:rsidR="00DB5EB6" w:rsidRDefault="00DB5EB6" w:rsidP="00DB0C88">
      <w:pPr>
        <w:spacing w:before="100" w:beforeAutospacing="1" w:after="100" w:afterAutospacing="1"/>
        <w:rPr>
          <w:rFonts w:ascii="Archivo Narrow" w:hAnsi="Archivo Narrow"/>
          <w:sz w:val="24"/>
          <w:szCs w:val="24"/>
          <w:lang w:val="en-US"/>
        </w:rPr>
      </w:pPr>
    </w:p>
    <w:p w14:paraId="3F4E1E5C" w14:textId="77777777" w:rsidR="00AF4D84" w:rsidRPr="00E276D2" w:rsidRDefault="00907734" w:rsidP="00AF4D84">
      <w:pPr>
        <w:keepNext/>
        <w:spacing w:before="100" w:beforeAutospacing="1" w:after="100" w:afterAutospacing="1"/>
        <w:jc w:val="center"/>
        <w:rPr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 wp14:anchorId="27B3C7EF" wp14:editId="3709F43E">
            <wp:extent cx="5760720" cy="4302125"/>
            <wp:effectExtent l="19050" t="0" r="0" b="0"/>
            <wp:docPr id="4" name="Picture 3" descr="USDJPY-20180123-9M-TouchUp-HL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DJPY-20180123-9M-TouchUp-HLVV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F752E" w14:textId="31997B21" w:rsidR="00AF4D84" w:rsidRDefault="00AF4D84" w:rsidP="00AF4D84">
      <w:pPr>
        <w:pStyle w:val="Beschriftung"/>
        <w:jc w:val="center"/>
        <w:rPr>
          <w:rFonts w:ascii="Archivo Narrow" w:hAnsi="Archivo Narrow"/>
          <w:sz w:val="24"/>
          <w:szCs w:val="24"/>
          <w:lang w:val="en-US"/>
        </w:rPr>
      </w:pPr>
      <w:bookmarkStart w:id="3" w:name="_Ref4669227"/>
      <w:r w:rsidRPr="00C26FB3">
        <w:rPr>
          <w:rFonts w:ascii="Archivo Narrow" w:hAnsi="Archivo Narrow"/>
          <w:color w:val="339999"/>
          <w:sz w:val="24"/>
          <w:szCs w:val="24"/>
          <w:lang w:val="en-US"/>
        </w:rPr>
        <w:t xml:space="preserve">Figure </w:t>
      </w:r>
      <w:r w:rsidR="001823A3" w:rsidRPr="00C26FB3">
        <w:rPr>
          <w:rFonts w:ascii="Archivo Narrow" w:hAnsi="Archivo Narrow"/>
          <w:color w:val="339999"/>
          <w:sz w:val="24"/>
          <w:szCs w:val="24"/>
          <w:lang w:val="en-US"/>
        </w:rPr>
        <w:fldChar w:fldCharType="begin"/>
      </w:r>
      <w:r w:rsidRPr="00C26FB3">
        <w:rPr>
          <w:rFonts w:ascii="Archivo Narrow" w:hAnsi="Archivo Narrow"/>
          <w:color w:val="339999"/>
          <w:sz w:val="24"/>
          <w:szCs w:val="24"/>
          <w:lang w:val="en-US"/>
        </w:rPr>
        <w:instrText xml:space="preserve"> SEQ Figure \* ARABIC </w:instrText>
      </w:r>
      <w:r w:rsidR="001823A3" w:rsidRPr="00C26FB3">
        <w:rPr>
          <w:rFonts w:ascii="Archivo Narrow" w:hAnsi="Archivo Narrow"/>
          <w:color w:val="339999"/>
          <w:sz w:val="24"/>
          <w:szCs w:val="24"/>
          <w:lang w:val="en-US"/>
        </w:rPr>
        <w:fldChar w:fldCharType="separate"/>
      </w:r>
      <w:r w:rsidR="004C752A">
        <w:rPr>
          <w:rFonts w:ascii="Archivo Narrow" w:hAnsi="Archivo Narrow"/>
          <w:noProof/>
          <w:color w:val="339999"/>
          <w:sz w:val="24"/>
          <w:szCs w:val="24"/>
          <w:lang w:val="en-US"/>
        </w:rPr>
        <w:t>4</w:t>
      </w:r>
      <w:r w:rsidR="001823A3" w:rsidRPr="00C26FB3">
        <w:rPr>
          <w:rFonts w:ascii="Archivo Narrow" w:hAnsi="Archivo Narrow"/>
          <w:color w:val="339999"/>
          <w:sz w:val="24"/>
          <w:szCs w:val="24"/>
          <w:lang w:val="en-US"/>
        </w:rPr>
        <w:fldChar w:fldCharType="end"/>
      </w:r>
      <w:bookmarkEnd w:id="3"/>
      <w:r w:rsidR="00C26FB3">
        <w:rPr>
          <w:rFonts w:ascii="Archivo Narrow" w:hAnsi="Archivo Narrow"/>
          <w:color w:val="339999"/>
          <w:sz w:val="24"/>
          <w:szCs w:val="24"/>
          <w:lang w:val="en-US"/>
        </w:rPr>
        <w:t>: USD/JPY exotics model comparison of 23 Jan 2018, TV of a 9-month One-Touch with an upper barrier on the x-axis, and differences to TV on the y-axis, raw data sourced from Bloomberg, calculations by MathFinance.</w:t>
      </w:r>
    </w:p>
    <w:p w14:paraId="276F43AC" w14:textId="77777777" w:rsidR="00AF4D84" w:rsidRDefault="00AF4D84" w:rsidP="00DB0C88">
      <w:pPr>
        <w:spacing w:before="100" w:beforeAutospacing="1" w:after="100" w:afterAutospacing="1"/>
        <w:rPr>
          <w:rFonts w:ascii="Archivo Narrow" w:hAnsi="Archivo Narrow"/>
          <w:sz w:val="24"/>
          <w:szCs w:val="24"/>
          <w:lang w:val="en-US"/>
        </w:rPr>
      </w:pPr>
    </w:p>
    <w:p w14:paraId="7283EEC7" w14:textId="77777777" w:rsidR="00E276D2" w:rsidRDefault="00E276D2" w:rsidP="00DB0C88">
      <w:pPr>
        <w:spacing w:before="100" w:beforeAutospacing="1" w:after="100" w:afterAutospacing="1"/>
        <w:rPr>
          <w:rFonts w:ascii="Archivo Narrow" w:hAnsi="Archivo Narrow"/>
          <w:sz w:val="24"/>
          <w:szCs w:val="24"/>
          <w:lang w:val="en-US"/>
        </w:rPr>
      </w:pPr>
      <w:r>
        <w:rPr>
          <w:rFonts w:ascii="Archivo Narrow" w:hAnsi="Archivo Narrow"/>
          <w:sz w:val="24"/>
          <w:szCs w:val="24"/>
          <w:lang w:val="en-US"/>
        </w:rPr>
        <w:t xml:space="preserve">The mustache can be used to visualize how different pricing models capture the volatility smile and can be part of a quantitative model risk analysis. Nowadays, regulators normally require banks to conduct a </w:t>
      </w:r>
      <w:r w:rsidRPr="00516DD8">
        <w:rPr>
          <w:rFonts w:ascii="Archivo Narrow" w:hAnsi="Archivo Narrow"/>
          <w:i/>
          <w:sz w:val="24"/>
          <w:szCs w:val="24"/>
          <w:lang w:val="en-US"/>
        </w:rPr>
        <w:t>model risk analysis</w:t>
      </w:r>
      <w:r>
        <w:rPr>
          <w:rFonts w:ascii="Archivo Narrow" w:hAnsi="Archivo Narrow"/>
          <w:sz w:val="24"/>
          <w:szCs w:val="24"/>
          <w:lang w:val="en-US"/>
        </w:rPr>
        <w:t xml:space="preserve"> for all new products to be traded. For front-office it is an important tool to gauge the quality of the in-house model. </w:t>
      </w:r>
      <w:r w:rsidR="000A011C">
        <w:rPr>
          <w:rFonts w:ascii="Archivo Narrow" w:hAnsi="Archivo Narrow"/>
          <w:sz w:val="24"/>
          <w:szCs w:val="24"/>
          <w:lang w:val="en-US"/>
        </w:rPr>
        <w:t>For this purpose, a number of models need to be implemented, calibrated and contracts priced</w:t>
      </w:r>
      <w:r w:rsidR="00B16F2A">
        <w:rPr>
          <w:rFonts w:ascii="Archivo Narrow" w:hAnsi="Archivo Narrow"/>
          <w:sz w:val="24"/>
          <w:szCs w:val="24"/>
          <w:lang w:val="en-US"/>
        </w:rPr>
        <w:t xml:space="preserve">. For the high-speed, low-tolerance FX derivatives market, gauging and monitoring model risk is crucial for survival. </w:t>
      </w:r>
    </w:p>
    <w:p w14:paraId="4A6C4B91" w14:textId="77777777" w:rsidR="00E276D2" w:rsidRDefault="002E0C2A" w:rsidP="002E0C2A">
      <w:pPr>
        <w:keepNext/>
        <w:spacing w:before="100" w:beforeAutospacing="1" w:after="100" w:afterAutospacing="1"/>
      </w:pPr>
      <w:r>
        <w:rPr>
          <w:noProof/>
          <w:lang w:eastAsia="de-DE"/>
        </w:rPr>
        <w:lastRenderedPageBreak/>
        <w:drawing>
          <wp:inline distT="0" distB="0" distL="0" distR="0" wp14:anchorId="13EBAEE4" wp14:editId="53A1156D">
            <wp:extent cx="5760720" cy="3025140"/>
            <wp:effectExtent l="19050" t="0" r="0" b="0"/>
            <wp:docPr id="5" name="Picture 4" descr="USDJPY-20180123-9M-TouchMustache-HL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DJPY-20180123-9M-TouchMustache-HLVV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BDC82" w14:textId="4A386B64" w:rsidR="00E276D2" w:rsidRDefault="00E276D2" w:rsidP="00E276D2">
      <w:pPr>
        <w:pStyle w:val="Beschriftung"/>
        <w:jc w:val="center"/>
        <w:rPr>
          <w:rFonts w:ascii="Archivo Narrow" w:hAnsi="Archivo Narrow"/>
          <w:sz w:val="24"/>
          <w:szCs w:val="24"/>
          <w:lang w:val="en-US"/>
        </w:rPr>
      </w:pPr>
      <w:bookmarkStart w:id="4" w:name="_Ref4669850"/>
      <w:r w:rsidRPr="00E276D2">
        <w:rPr>
          <w:rFonts w:ascii="Archivo Narrow" w:hAnsi="Archivo Narrow"/>
          <w:color w:val="339999"/>
          <w:sz w:val="24"/>
          <w:szCs w:val="24"/>
          <w:lang w:val="en-US"/>
        </w:rPr>
        <w:t xml:space="preserve">Figure </w:t>
      </w:r>
      <w:r w:rsidR="001823A3" w:rsidRPr="00E276D2">
        <w:rPr>
          <w:rFonts w:ascii="Archivo Narrow" w:hAnsi="Archivo Narrow"/>
          <w:color w:val="339999"/>
          <w:sz w:val="24"/>
          <w:szCs w:val="24"/>
          <w:lang w:val="en-US"/>
        </w:rPr>
        <w:fldChar w:fldCharType="begin"/>
      </w:r>
      <w:r w:rsidRPr="00E276D2">
        <w:rPr>
          <w:rFonts w:ascii="Archivo Narrow" w:hAnsi="Archivo Narrow"/>
          <w:color w:val="339999"/>
          <w:sz w:val="24"/>
          <w:szCs w:val="24"/>
          <w:lang w:val="en-US"/>
        </w:rPr>
        <w:instrText xml:space="preserve"> SEQ Figure \* ARABIC </w:instrText>
      </w:r>
      <w:r w:rsidR="001823A3" w:rsidRPr="00E276D2">
        <w:rPr>
          <w:rFonts w:ascii="Archivo Narrow" w:hAnsi="Archivo Narrow"/>
          <w:color w:val="339999"/>
          <w:sz w:val="24"/>
          <w:szCs w:val="24"/>
          <w:lang w:val="en-US"/>
        </w:rPr>
        <w:fldChar w:fldCharType="separate"/>
      </w:r>
      <w:r w:rsidR="004C752A">
        <w:rPr>
          <w:rFonts w:ascii="Archivo Narrow" w:hAnsi="Archivo Narrow"/>
          <w:noProof/>
          <w:color w:val="339999"/>
          <w:sz w:val="24"/>
          <w:szCs w:val="24"/>
          <w:lang w:val="en-US"/>
        </w:rPr>
        <w:t>5</w:t>
      </w:r>
      <w:r w:rsidR="001823A3" w:rsidRPr="00E276D2">
        <w:rPr>
          <w:rFonts w:ascii="Archivo Narrow" w:hAnsi="Archivo Narrow"/>
          <w:color w:val="339999"/>
          <w:sz w:val="24"/>
          <w:szCs w:val="24"/>
          <w:lang w:val="en-US"/>
        </w:rPr>
        <w:fldChar w:fldCharType="end"/>
      </w:r>
      <w:bookmarkEnd w:id="4"/>
      <w:r>
        <w:rPr>
          <w:rFonts w:ascii="Archivo Narrow" w:hAnsi="Archivo Narrow"/>
          <w:color w:val="339999"/>
          <w:sz w:val="24"/>
          <w:szCs w:val="24"/>
          <w:lang w:val="en-US"/>
        </w:rPr>
        <w:t>: USD/JPY OneTouch Mustache of 23 Jan 2018, TV of a 9-month One-Touch on the x-axes, and differences to TV on the y-axis, raw data sourced from Bloomberg, calculations by MathFinance.</w:t>
      </w:r>
    </w:p>
    <w:p w14:paraId="7167311A" w14:textId="77777777" w:rsidR="00E276D2" w:rsidRDefault="00E276D2" w:rsidP="00E276D2">
      <w:pPr>
        <w:pStyle w:val="Beschriftung"/>
        <w:jc w:val="center"/>
        <w:rPr>
          <w:rFonts w:ascii="Archivo Narrow" w:hAnsi="Archivo Narrow"/>
          <w:sz w:val="24"/>
          <w:szCs w:val="24"/>
          <w:lang w:val="en-US"/>
        </w:rPr>
      </w:pPr>
    </w:p>
    <w:p w14:paraId="1ED3B665" w14:textId="77777777" w:rsidR="007A05F4" w:rsidRPr="007A05F4" w:rsidRDefault="00516DD8" w:rsidP="003C7545">
      <w:pPr>
        <w:rPr>
          <w:rFonts w:ascii="Archivo Narrow" w:hAnsi="Archivo Narrow" w:cs="Arial"/>
          <w:sz w:val="24"/>
          <w:szCs w:val="24"/>
          <w:lang w:val="en-US"/>
        </w:rPr>
      </w:pPr>
      <w:r>
        <w:rPr>
          <w:rFonts w:ascii="Archivo Narrow" w:hAnsi="Archivo Narrow" w:cs="Arial"/>
          <w:sz w:val="24"/>
          <w:szCs w:val="24"/>
          <w:lang w:val="en-US"/>
        </w:rPr>
        <w:t xml:space="preserve">For touch contracts, note that the interbank bid-offer spread is about 0.02 = 2% for liquid currency pairs; therefore, the difference of the models matters crucially for those making exotics tradable on their platforms. In practice, the weighting factor, which we chose to be 75% for illustration purposes, is calibrated to observable prices of touch contracts and is often rather stable, but depends on the currency pair. </w:t>
      </w:r>
    </w:p>
    <w:p w14:paraId="3B091596" w14:textId="77777777" w:rsidR="005556F0" w:rsidRPr="0002337A" w:rsidRDefault="005556F0" w:rsidP="00EC5C54">
      <w:pPr>
        <w:rPr>
          <w:rFonts w:ascii="Archivo Narrow" w:hAnsi="Archivo Narrow" w:cs="TimesNewRomanPSMT"/>
          <w:sz w:val="16"/>
          <w:szCs w:val="16"/>
          <w:lang w:val="en-US" w:eastAsia="de-DE"/>
        </w:rPr>
      </w:pPr>
    </w:p>
    <w:sectPr w:rsidR="005556F0" w:rsidRPr="0002337A" w:rsidSect="00C82072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2F9D3" w14:textId="77777777" w:rsidR="00546F32" w:rsidRDefault="00546F32" w:rsidP="00A865E3">
      <w:pPr>
        <w:spacing w:after="0" w:line="240" w:lineRule="auto"/>
      </w:pPr>
      <w:r>
        <w:separator/>
      </w:r>
    </w:p>
  </w:endnote>
  <w:endnote w:type="continuationSeparator" w:id="0">
    <w:p w14:paraId="5DD8256C" w14:textId="77777777" w:rsidR="00546F32" w:rsidRDefault="00546F32" w:rsidP="00A8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vo Narrow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761056990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Times New Roman"/>
          <w:sz w:val="22"/>
          <w:szCs w:val="22"/>
        </w:rPr>
      </w:sdtEndPr>
      <w:sdtContent>
        <w:tr w:rsidR="00A865E3" w14:paraId="60B535EB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0714C978" w14:textId="61A09A75" w:rsidR="00A865E3" w:rsidRDefault="00A865E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4381AC21" w14:textId="22E26099" w:rsidR="00A865E3" w:rsidRDefault="00A865E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15B6BBBE" w14:textId="77777777" w:rsidR="00A865E3" w:rsidRDefault="00A865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D009F" w14:textId="77777777" w:rsidR="00546F32" w:rsidRDefault="00546F32" w:rsidP="00A865E3">
      <w:pPr>
        <w:spacing w:after="0" w:line="240" w:lineRule="auto"/>
      </w:pPr>
      <w:r>
        <w:separator/>
      </w:r>
    </w:p>
  </w:footnote>
  <w:footnote w:type="continuationSeparator" w:id="0">
    <w:p w14:paraId="0F52E0C3" w14:textId="77777777" w:rsidR="00546F32" w:rsidRDefault="00546F32" w:rsidP="00A8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E403A" w14:textId="05D13CCA" w:rsidR="00A865E3" w:rsidRDefault="00A865E3">
    <w:pPr>
      <w:pStyle w:val="Kopfzeile"/>
    </w:pPr>
    <w:r>
      <w:rPr>
        <w:noProof/>
      </w:rPr>
      <w:drawing>
        <wp:inline distT="0" distB="0" distL="0" distR="0" wp14:anchorId="4715CCE0" wp14:editId="5AD77DF2">
          <wp:extent cx="2495550" cy="540262"/>
          <wp:effectExtent l="0" t="0" r="0" b="0"/>
          <wp:docPr id="2125264480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264480" name="Grafik 1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185" cy="545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C21346" w14:textId="77777777" w:rsidR="00A865E3" w:rsidRDefault="00A865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2BC9B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904FD"/>
    <w:multiLevelType w:val="hybridMultilevel"/>
    <w:tmpl w:val="03F2DA56"/>
    <w:lvl w:ilvl="0" w:tplc="782E032C">
      <w:start w:val="1"/>
      <w:numFmt w:val="decimal"/>
      <w:lvlText w:val="(%1)"/>
      <w:lvlJc w:val="left"/>
      <w:pPr>
        <w:ind w:left="720" w:hanging="360"/>
      </w:pPr>
      <w:rPr>
        <w:rFonts w:ascii="Helvetica" w:hAnsi="Helvetica" w:cs="Helvetica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3ECF"/>
    <w:multiLevelType w:val="hybridMultilevel"/>
    <w:tmpl w:val="9D8C7BBA"/>
    <w:lvl w:ilvl="0" w:tplc="B56691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3145E"/>
    <w:multiLevelType w:val="hybridMultilevel"/>
    <w:tmpl w:val="DE8095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A5992"/>
    <w:multiLevelType w:val="hybridMultilevel"/>
    <w:tmpl w:val="3F50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C4A1E"/>
    <w:multiLevelType w:val="hybridMultilevel"/>
    <w:tmpl w:val="5644C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7751">
    <w:abstractNumId w:val="1"/>
  </w:num>
  <w:num w:numId="2" w16cid:durableId="768430999">
    <w:abstractNumId w:val="0"/>
  </w:num>
  <w:num w:numId="3" w16cid:durableId="730811866">
    <w:abstractNumId w:val="5"/>
  </w:num>
  <w:num w:numId="4" w16cid:durableId="485789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1090299">
    <w:abstractNumId w:val="3"/>
  </w:num>
  <w:num w:numId="6" w16cid:durableId="82131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26"/>
    <w:rsid w:val="00014464"/>
    <w:rsid w:val="000169FF"/>
    <w:rsid w:val="00021312"/>
    <w:rsid w:val="0002337A"/>
    <w:rsid w:val="0003065D"/>
    <w:rsid w:val="00036921"/>
    <w:rsid w:val="00045D86"/>
    <w:rsid w:val="000540B1"/>
    <w:rsid w:val="000A0001"/>
    <w:rsid w:val="000A011C"/>
    <w:rsid w:val="000A0726"/>
    <w:rsid w:val="000A13C1"/>
    <w:rsid w:val="000C5EFE"/>
    <w:rsid w:val="000D6E8E"/>
    <w:rsid w:val="00103C57"/>
    <w:rsid w:val="001063AA"/>
    <w:rsid w:val="00112D01"/>
    <w:rsid w:val="00130096"/>
    <w:rsid w:val="001456D5"/>
    <w:rsid w:val="00146302"/>
    <w:rsid w:val="00153B33"/>
    <w:rsid w:val="001644B4"/>
    <w:rsid w:val="001744E8"/>
    <w:rsid w:val="00174F23"/>
    <w:rsid w:val="001823A3"/>
    <w:rsid w:val="001B7335"/>
    <w:rsid w:val="001C225A"/>
    <w:rsid w:val="001D75F2"/>
    <w:rsid w:val="001E64D7"/>
    <w:rsid w:val="002018A8"/>
    <w:rsid w:val="00204F20"/>
    <w:rsid w:val="00224A01"/>
    <w:rsid w:val="00235873"/>
    <w:rsid w:val="0024342B"/>
    <w:rsid w:val="00245FE5"/>
    <w:rsid w:val="00246749"/>
    <w:rsid w:val="002574E2"/>
    <w:rsid w:val="00272302"/>
    <w:rsid w:val="00272604"/>
    <w:rsid w:val="002C5CD9"/>
    <w:rsid w:val="002C6049"/>
    <w:rsid w:val="002E0C2A"/>
    <w:rsid w:val="002F0481"/>
    <w:rsid w:val="00307518"/>
    <w:rsid w:val="00314C0C"/>
    <w:rsid w:val="00321B60"/>
    <w:rsid w:val="00331DF6"/>
    <w:rsid w:val="0034557D"/>
    <w:rsid w:val="0035566E"/>
    <w:rsid w:val="00356624"/>
    <w:rsid w:val="003761AB"/>
    <w:rsid w:val="0038385D"/>
    <w:rsid w:val="003A43EF"/>
    <w:rsid w:val="003A64C8"/>
    <w:rsid w:val="003B354C"/>
    <w:rsid w:val="003B6D77"/>
    <w:rsid w:val="003C7545"/>
    <w:rsid w:val="003D6633"/>
    <w:rsid w:val="004011C2"/>
    <w:rsid w:val="004051B3"/>
    <w:rsid w:val="00415E85"/>
    <w:rsid w:val="00416FCE"/>
    <w:rsid w:val="00426CCE"/>
    <w:rsid w:val="00440B2D"/>
    <w:rsid w:val="00456684"/>
    <w:rsid w:val="00472D61"/>
    <w:rsid w:val="00483283"/>
    <w:rsid w:val="00487AB9"/>
    <w:rsid w:val="004C3AEB"/>
    <w:rsid w:val="004C752A"/>
    <w:rsid w:val="004D2562"/>
    <w:rsid w:val="00505007"/>
    <w:rsid w:val="005114D8"/>
    <w:rsid w:val="00516DD8"/>
    <w:rsid w:val="00525059"/>
    <w:rsid w:val="00536AEF"/>
    <w:rsid w:val="00543A2C"/>
    <w:rsid w:val="00546F32"/>
    <w:rsid w:val="005556F0"/>
    <w:rsid w:val="00571C32"/>
    <w:rsid w:val="005836B8"/>
    <w:rsid w:val="00590914"/>
    <w:rsid w:val="00591393"/>
    <w:rsid w:val="005A1B22"/>
    <w:rsid w:val="005A6AD0"/>
    <w:rsid w:val="005A7DF3"/>
    <w:rsid w:val="006022A3"/>
    <w:rsid w:val="00632ECC"/>
    <w:rsid w:val="00636519"/>
    <w:rsid w:val="00655528"/>
    <w:rsid w:val="00656DB3"/>
    <w:rsid w:val="00667648"/>
    <w:rsid w:val="006806E5"/>
    <w:rsid w:val="00690A0A"/>
    <w:rsid w:val="00692E93"/>
    <w:rsid w:val="006B01F1"/>
    <w:rsid w:val="006C70B1"/>
    <w:rsid w:val="006D6E78"/>
    <w:rsid w:val="006D71A7"/>
    <w:rsid w:val="006F73A8"/>
    <w:rsid w:val="006F75A1"/>
    <w:rsid w:val="007102CB"/>
    <w:rsid w:val="00711494"/>
    <w:rsid w:val="0071171B"/>
    <w:rsid w:val="00712532"/>
    <w:rsid w:val="007249C2"/>
    <w:rsid w:val="0074554D"/>
    <w:rsid w:val="0078486A"/>
    <w:rsid w:val="00792D83"/>
    <w:rsid w:val="007A05F4"/>
    <w:rsid w:val="007C1415"/>
    <w:rsid w:val="007D35BC"/>
    <w:rsid w:val="007F2518"/>
    <w:rsid w:val="007F3FD7"/>
    <w:rsid w:val="00806201"/>
    <w:rsid w:val="008135FD"/>
    <w:rsid w:val="00813E61"/>
    <w:rsid w:val="00822828"/>
    <w:rsid w:val="008408BC"/>
    <w:rsid w:val="00856E48"/>
    <w:rsid w:val="00857D89"/>
    <w:rsid w:val="008829DC"/>
    <w:rsid w:val="008845BF"/>
    <w:rsid w:val="008C4625"/>
    <w:rsid w:val="008D701B"/>
    <w:rsid w:val="008E3274"/>
    <w:rsid w:val="008E5399"/>
    <w:rsid w:val="00907734"/>
    <w:rsid w:val="00911063"/>
    <w:rsid w:val="009139EB"/>
    <w:rsid w:val="00933C77"/>
    <w:rsid w:val="00935A61"/>
    <w:rsid w:val="009444B1"/>
    <w:rsid w:val="00982CD4"/>
    <w:rsid w:val="009C475D"/>
    <w:rsid w:val="009D1EC5"/>
    <w:rsid w:val="009D4D88"/>
    <w:rsid w:val="009E0094"/>
    <w:rsid w:val="009E5025"/>
    <w:rsid w:val="009F735F"/>
    <w:rsid w:val="00A14651"/>
    <w:rsid w:val="00A22BA9"/>
    <w:rsid w:val="00A348BA"/>
    <w:rsid w:val="00A419DE"/>
    <w:rsid w:val="00A41ADB"/>
    <w:rsid w:val="00A45BCE"/>
    <w:rsid w:val="00A5556E"/>
    <w:rsid w:val="00A61A01"/>
    <w:rsid w:val="00A63350"/>
    <w:rsid w:val="00A73EA6"/>
    <w:rsid w:val="00A811F9"/>
    <w:rsid w:val="00A865E3"/>
    <w:rsid w:val="00A870DE"/>
    <w:rsid w:val="00AA4CB9"/>
    <w:rsid w:val="00AB0484"/>
    <w:rsid w:val="00AB7D70"/>
    <w:rsid w:val="00AC352B"/>
    <w:rsid w:val="00AD6858"/>
    <w:rsid w:val="00AE47CC"/>
    <w:rsid w:val="00AF4D84"/>
    <w:rsid w:val="00B04587"/>
    <w:rsid w:val="00B15201"/>
    <w:rsid w:val="00B16F2A"/>
    <w:rsid w:val="00B2678F"/>
    <w:rsid w:val="00B271F6"/>
    <w:rsid w:val="00B3289B"/>
    <w:rsid w:val="00B36B54"/>
    <w:rsid w:val="00B37667"/>
    <w:rsid w:val="00B6102C"/>
    <w:rsid w:val="00B769D4"/>
    <w:rsid w:val="00BC190B"/>
    <w:rsid w:val="00BD091C"/>
    <w:rsid w:val="00BD464D"/>
    <w:rsid w:val="00BD5DF6"/>
    <w:rsid w:val="00BF41DB"/>
    <w:rsid w:val="00C008DE"/>
    <w:rsid w:val="00C128CB"/>
    <w:rsid w:val="00C14A59"/>
    <w:rsid w:val="00C21CD8"/>
    <w:rsid w:val="00C233FD"/>
    <w:rsid w:val="00C26FB3"/>
    <w:rsid w:val="00C31096"/>
    <w:rsid w:val="00C322EA"/>
    <w:rsid w:val="00C741A9"/>
    <w:rsid w:val="00C82072"/>
    <w:rsid w:val="00C861CE"/>
    <w:rsid w:val="00C928E9"/>
    <w:rsid w:val="00CB5EAB"/>
    <w:rsid w:val="00CB7B30"/>
    <w:rsid w:val="00CC4317"/>
    <w:rsid w:val="00CD5913"/>
    <w:rsid w:val="00D10495"/>
    <w:rsid w:val="00D27D64"/>
    <w:rsid w:val="00D458D2"/>
    <w:rsid w:val="00D55F75"/>
    <w:rsid w:val="00D80378"/>
    <w:rsid w:val="00D80855"/>
    <w:rsid w:val="00D866D5"/>
    <w:rsid w:val="00DB0C88"/>
    <w:rsid w:val="00DB5EB6"/>
    <w:rsid w:val="00DD4472"/>
    <w:rsid w:val="00DF0993"/>
    <w:rsid w:val="00E0073F"/>
    <w:rsid w:val="00E0214A"/>
    <w:rsid w:val="00E02C94"/>
    <w:rsid w:val="00E24100"/>
    <w:rsid w:val="00E276D2"/>
    <w:rsid w:val="00E42979"/>
    <w:rsid w:val="00E46174"/>
    <w:rsid w:val="00E551EE"/>
    <w:rsid w:val="00E60DFB"/>
    <w:rsid w:val="00E67294"/>
    <w:rsid w:val="00E74527"/>
    <w:rsid w:val="00E76610"/>
    <w:rsid w:val="00E868D9"/>
    <w:rsid w:val="00E956FB"/>
    <w:rsid w:val="00EC51DD"/>
    <w:rsid w:val="00EC5C54"/>
    <w:rsid w:val="00ED3ADE"/>
    <w:rsid w:val="00EE1AD3"/>
    <w:rsid w:val="00EE43DA"/>
    <w:rsid w:val="00F25D7C"/>
    <w:rsid w:val="00F27841"/>
    <w:rsid w:val="00F471D0"/>
    <w:rsid w:val="00F50077"/>
    <w:rsid w:val="00F645CD"/>
    <w:rsid w:val="00F76528"/>
    <w:rsid w:val="00F80791"/>
    <w:rsid w:val="00F927AD"/>
    <w:rsid w:val="00FB60C8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2442A"/>
  <w15:docId w15:val="{44016E27-5545-4A2F-B5D4-DC5D65FB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207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AE47CC"/>
    <w:rPr>
      <w:b/>
      <w:bCs/>
    </w:rPr>
  </w:style>
  <w:style w:type="character" w:styleId="Hyperlink">
    <w:name w:val="Hyperlink"/>
    <w:uiPriority w:val="99"/>
    <w:unhideWhenUsed/>
    <w:rsid w:val="0078486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472D61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72D61"/>
    <w:rPr>
      <w:rFonts w:ascii="Consolas" w:eastAsia="Calibri" w:hAnsi="Consolas" w:cs="Times New Roman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D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D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D77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6D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6D77"/>
    <w:rPr>
      <w:b/>
      <w:bCs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D77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813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A811F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57D89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BC1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46749"/>
    <w:pPr>
      <w:spacing w:after="0" w:line="240" w:lineRule="auto"/>
      <w:ind w:left="720"/>
    </w:pPr>
    <w:rPr>
      <w:rFonts w:eastAsiaTheme="minorHAns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A86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5E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86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5E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289D9-5020-49A6-AB21-02196069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874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 Editorial</vt:lpstr>
      <vt:lpstr>Newsletter Editorial</vt:lpstr>
    </vt:vector>
  </TitlesOfParts>
  <Company>MathFinance AG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 Editorial</dc:title>
  <dc:subject>The Sales Margin Transparency Farce</dc:subject>
  <dc:creator>Prof. Dr. Uwe Wystup</dc:creator>
  <cp:lastModifiedBy>Roxana Meisner</cp:lastModifiedBy>
  <cp:revision>3</cp:revision>
  <cp:lastPrinted>2025-01-30T13:41:00Z</cp:lastPrinted>
  <dcterms:created xsi:type="dcterms:W3CDTF">2025-01-30T13:41:00Z</dcterms:created>
  <dcterms:modified xsi:type="dcterms:W3CDTF">2025-01-30T14:30:00Z</dcterms:modified>
</cp:coreProperties>
</file>